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899" w:rsidRPr="00583D0B" w:rsidRDefault="00AF287D" w:rsidP="00CD7899">
      <w:pPr>
        <w:spacing w:after="0"/>
        <w:rPr>
          <w:rFonts w:asciiTheme="minorHAnsi" w:hAnsiTheme="minorHAnsi"/>
          <w:b/>
          <w:sz w:val="32"/>
          <w:szCs w:val="24"/>
        </w:rPr>
      </w:pPr>
      <w:r>
        <w:rPr>
          <w:rFonts w:asciiTheme="minorHAnsi" w:hAnsiTheme="minorHAnsi"/>
          <w:b/>
          <w:sz w:val="32"/>
          <w:szCs w:val="24"/>
        </w:rPr>
        <w:t>State advises FERC some answers will take until January 2018</w:t>
      </w:r>
    </w:p>
    <w:p w:rsidR="00583D0B" w:rsidRPr="00CD7899" w:rsidRDefault="00583D0B" w:rsidP="00CD7899">
      <w:pPr>
        <w:spacing w:after="0"/>
        <w:rPr>
          <w:rFonts w:asciiTheme="minorHAnsi" w:hAnsiTheme="minorHAnsi"/>
          <w:sz w:val="24"/>
          <w:szCs w:val="24"/>
        </w:rPr>
      </w:pPr>
    </w:p>
    <w:p w:rsidR="00CD7899" w:rsidRPr="00CD7899" w:rsidRDefault="00CD7899" w:rsidP="00CD7899">
      <w:pPr>
        <w:spacing w:after="0"/>
        <w:rPr>
          <w:rStyle w:val="Hyperlink"/>
          <w:rFonts w:asciiTheme="minorHAnsi" w:hAnsiTheme="minorHAnsi" w:cs="Calibri"/>
          <w:sz w:val="24"/>
          <w:szCs w:val="24"/>
        </w:rPr>
      </w:pPr>
      <w:r w:rsidRPr="00CD7899">
        <w:rPr>
          <w:rFonts w:asciiTheme="minorHAnsi" w:hAnsiTheme="minorHAnsi"/>
          <w:sz w:val="24"/>
          <w:szCs w:val="24"/>
        </w:rPr>
        <w:t xml:space="preserve">By Larry Persily </w:t>
      </w:r>
      <w:hyperlink r:id="rId7" w:history="1">
        <w:r w:rsidRPr="00CD7899">
          <w:rPr>
            <w:rStyle w:val="Hyperlink"/>
            <w:rFonts w:asciiTheme="minorHAnsi" w:hAnsiTheme="minorHAnsi" w:cs="Calibri"/>
            <w:sz w:val="24"/>
            <w:szCs w:val="24"/>
          </w:rPr>
          <w:t>lpersily@kpb.us</w:t>
        </w:r>
      </w:hyperlink>
    </w:p>
    <w:p w:rsidR="00CD7899" w:rsidRPr="00CD7899" w:rsidRDefault="00CF5151" w:rsidP="00CD7899">
      <w:pPr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Aug. 10</w:t>
      </w:r>
      <w:r w:rsidR="00CD7899" w:rsidRPr="00CD7899">
        <w:rPr>
          <w:rFonts w:asciiTheme="minorHAnsi" w:hAnsiTheme="minorHAnsi"/>
          <w:sz w:val="24"/>
          <w:szCs w:val="24"/>
        </w:rPr>
        <w:t>, 2017</w:t>
      </w:r>
    </w:p>
    <w:p w:rsidR="00CD7899" w:rsidRPr="00CD7899" w:rsidRDefault="00CD7899" w:rsidP="00CD7899">
      <w:pPr>
        <w:spacing w:after="0"/>
        <w:rPr>
          <w:rFonts w:asciiTheme="minorHAnsi" w:hAnsiTheme="minorHAnsi"/>
          <w:sz w:val="24"/>
          <w:szCs w:val="24"/>
        </w:rPr>
      </w:pPr>
    </w:p>
    <w:p w:rsidR="00CD7899" w:rsidRPr="00CD7899" w:rsidRDefault="00CD7899" w:rsidP="00CD7899">
      <w:pPr>
        <w:spacing w:after="0"/>
        <w:rPr>
          <w:rFonts w:asciiTheme="minorHAnsi" w:eastAsiaTheme="minorEastAsia" w:hAnsiTheme="minorHAnsi"/>
          <w:i/>
          <w:sz w:val="24"/>
          <w:szCs w:val="24"/>
        </w:rPr>
      </w:pPr>
      <w:r w:rsidRPr="00CD7899">
        <w:rPr>
          <w:rFonts w:asciiTheme="minorHAnsi" w:eastAsiaTheme="minorEastAsia" w:hAnsiTheme="minorHAnsi"/>
          <w:i/>
          <w:sz w:val="24"/>
          <w:szCs w:val="24"/>
        </w:rPr>
        <w:t>(This update, provided by the Kenai Peninsula Borough mayor’s office, is part of an ongoing effort to help keep the public informed about the Alaska LNG project.)</w:t>
      </w:r>
    </w:p>
    <w:p w:rsidR="00CD7899" w:rsidRPr="00CD7899" w:rsidRDefault="00CD7899" w:rsidP="00CD7899">
      <w:pPr>
        <w:spacing w:after="0"/>
        <w:rPr>
          <w:rFonts w:asciiTheme="minorHAnsi" w:eastAsiaTheme="minorEastAsia" w:hAnsiTheme="minorHAnsi"/>
          <w:sz w:val="24"/>
          <w:szCs w:val="24"/>
        </w:rPr>
      </w:pPr>
    </w:p>
    <w:p w:rsidR="005B6FEF" w:rsidRDefault="00374661" w:rsidP="005B6FEF">
      <w:pPr>
        <w:spacing w:after="0"/>
        <w:rPr>
          <w:rFonts w:asciiTheme="minorHAnsi" w:eastAsiaTheme="minorEastAsia" w:hAnsiTheme="minorHAnsi"/>
          <w:sz w:val="24"/>
          <w:szCs w:val="24"/>
        </w:rPr>
      </w:pPr>
      <w:r>
        <w:rPr>
          <w:rFonts w:asciiTheme="minorHAnsi" w:eastAsiaTheme="minorEastAsia" w:hAnsiTheme="minorHAnsi"/>
          <w:sz w:val="24"/>
          <w:szCs w:val="24"/>
        </w:rPr>
        <w:t xml:space="preserve">The Alaska Gasline Development Corp. </w:t>
      </w:r>
      <w:hyperlink r:id="rId8" w:history="1">
        <w:r w:rsidRPr="00637E0C">
          <w:rPr>
            <w:rStyle w:val="Hyperlink"/>
            <w:rFonts w:asciiTheme="minorHAnsi" w:eastAsiaTheme="minorEastAsia" w:hAnsiTheme="minorHAnsi"/>
            <w:sz w:val="24"/>
            <w:szCs w:val="24"/>
          </w:rPr>
          <w:t>has started respond</w:t>
        </w:r>
        <w:r w:rsidR="005B6FEF" w:rsidRPr="00637E0C">
          <w:rPr>
            <w:rStyle w:val="Hyperlink"/>
            <w:rFonts w:asciiTheme="minorHAnsi" w:eastAsiaTheme="minorEastAsia" w:hAnsiTheme="minorHAnsi"/>
            <w:sz w:val="24"/>
            <w:szCs w:val="24"/>
          </w:rPr>
          <w:t>ing</w:t>
        </w:r>
      </w:hyperlink>
      <w:r>
        <w:rPr>
          <w:rFonts w:asciiTheme="minorHAnsi" w:eastAsiaTheme="minorEastAsia" w:hAnsiTheme="minorHAnsi"/>
          <w:sz w:val="24"/>
          <w:szCs w:val="24"/>
        </w:rPr>
        <w:t xml:space="preserve"> to federal regulators</w:t>
      </w:r>
      <w:r w:rsidR="005B6FEF">
        <w:rPr>
          <w:rFonts w:asciiTheme="minorHAnsi" w:eastAsiaTheme="minorEastAsia" w:hAnsiTheme="minorHAnsi"/>
          <w:sz w:val="24"/>
          <w:szCs w:val="24"/>
        </w:rPr>
        <w:t xml:space="preserve">’ </w:t>
      </w:r>
      <w:hyperlink r:id="rId9" w:history="1">
        <w:r w:rsidR="000F5599" w:rsidRPr="00CF6C9F">
          <w:rPr>
            <w:rStyle w:val="Hyperlink"/>
            <w:rFonts w:asciiTheme="minorHAnsi" w:eastAsiaTheme="minorEastAsia" w:hAnsiTheme="minorHAnsi"/>
            <w:sz w:val="24"/>
            <w:szCs w:val="24"/>
          </w:rPr>
          <w:t xml:space="preserve">July 5 </w:t>
        </w:r>
        <w:r w:rsidR="005B6FEF" w:rsidRPr="00CF6C9F">
          <w:rPr>
            <w:rStyle w:val="Hyperlink"/>
            <w:rFonts w:asciiTheme="minorHAnsi" w:eastAsiaTheme="minorEastAsia" w:hAnsiTheme="minorHAnsi"/>
            <w:sz w:val="24"/>
            <w:szCs w:val="24"/>
          </w:rPr>
          <w:t>data requests</w:t>
        </w:r>
      </w:hyperlink>
      <w:r w:rsidR="005B6FEF">
        <w:rPr>
          <w:rFonts w:asciiTheme="minorHAnsi" w:eastAsiaTheme="minorEastAsia" w:hAnsiTheme="minorHAnsi"/>
          <w:sz w:val="24"/>
          <w:szCs w:val="24"/>
        </w:rPr>
        <w:t xml:space="preserve"> for preparation of the project’s environmental impact statement</w:t>
      </w:r>
      <w:r w:rsidR="0077162E">
        <w:rPr>
          <w:rFonts w:asciiTheme="minorHAnsi" w:eastAsiaTheme="minorEastAsia" w:hAnsiTheme="minorHAnsi"/>
          <w:sz w:val="24"/>
          <w:szCs w:val="24"/>
        </w:rPr>
        <w:t>, r</w:t>
      </w:r>
      <w:r w:rsidR="005B6FEF">
        <w:rPr>
          <w:rFonts w:asciiTheme="minorHAnsi" w:eastAsiaTheme="minorEastAsia" w:hAnsiTheme="minorHAnsi"/>
          <w:sz w:val="24"/>
          <w:szCs w:val="24"/>
        </w:rPr>
        <w:t xml:space="preserve">eporting that </w:t>
      </w:r>
      <w:r w:rsidR="00303CDF">
        <w:rPr>
          <w:rFonts w:asciiTheme="minorHAnsi" w:eastAsiaTheme="minorEastAsia" w:hAnsiTheme="minorHAnsi"/>
          <w:sz w:val="24"/>
          <w:szCs w:val="24"/>
        </w:rPr>
        <w:t>it will submit most of the requested information Septe</w:t>
      </w:r>
      <w:r w:rsidR="0077162E">
        <w:rPr>
          <w:rFonts w:asciiTheme="minorHAnsi" w:eastAsiaTheme="minorEastAsia" w:hAnsiTheme="minorHAnsi"/>
          <w:sz w:val="24"/>
          <w:szCs w:val="24"/>
        </w:rPr>
        <w:t xml:space="preserve">mber through December this year — </w:t>
      </w:r>
      <w:r w:rsidR="00303CDF">
        <w:rPr>
          <w:rFonts w:asciiTheme="minorHAnsi" w:eastAsiaTheme="minorEastAsia" w:hAnsiTheme="minorHAnsi"/>
          <w:sz w:val="24"/>
          <w:szCs w:val="24"/>
        </w:rPr>
        <w:t>though some data will not</w:t>
      </w:r>
      <w:bookmarkStart w:id="0" w:name="_GoBack"/>
      <w:r w:rsidR="00303CDF">
        <w:rPr>
          <w:rFonts w:asciiTheme="minorHAnsi" w:eastAsiaTheme="minorEastAsia" w:hAnsiTheme="minorHAnsi"/>
          <w:sz w:val="24"/>
          <w:szCs w:val="24"/>
        </w:rPr>
        <w:t xml:space="preserve"> be </w:t>
      </w:r>
      <w:r w:rsidR="005B6FEF">
        <w:rPr>
          <w:rFonts w:asciiTheme="minorHAnsi" w:eastAsiaTheme="minorEastAsia" w:hAnsiTheme="minorHAnsi"/>
          <w:sz w:val="24"/>
          <w:szCs w:val="24"/>
        </w:rPr>
        <w:t>available until January 2018.</w:t>
      </w:r>
      <w:bookmarkEnd w:id="0"/>
    </w:p>
    <w:p w:rsidR="00303CDF" w:rsidRDefault="00303CDF" w:rsidP="005B6FEF">
      <w:pPr>
        <w:spacing w:after="0"/>
        <w:rPr>
          <w:rFonts w:asciiTheme="minorHAnsi" w:eastAsiaTheme="minorEastAsia" w:hAnsiTheme="minorHAnsi"/>
          <w:sz w:val="24"/>
          <w:szCs w:val="24"/>
        </w:rPr>
      </w:pPr>
    </w:p>
    <w:p w:rsidR="000F5599" w:rsidRPr="000F5599" w:rsidRDefault="00091700" w:rsidP="000F5599">
      <w:pPr>
        <w:spacing w:after="0"/>
        <w:rPr>
          <w:rFonts w:asciiTheme="minorHAnsi" w:eastAsia="Times New Roman" w:hAnsiTheme="minorHAnsi" w:cstheme="minorHAnsi"/>
          <w:sz w:val="24"/>
          <w:szCs w:val="24"/>
        </w:rPr>
      </w:pPr>
      <w:r w:rsidRPr="000F5599">
        <w:rPr>
          <w:rFonts w:asciiTheme="minorHAnsi" w:eastAsiaTheme="minorEastAsia" w:hAnsiTheme="minorHAnsi" w:cstheme="minorHAnsi"/>
          <w:sz w:val="24"/>
          <w:szCs w:val="24"/>
        </w:rPr>
        <w:t>T</w:t>
      </w:r>
      <w:r w:rsidR="00E805BB" w:rsidRPr="000F5599">
        <w:rPr>
          <w:rFonts w:asciiTheme="minorHAnsi" w:eastAsiaTheme="minorEastAsia" w:hAnsiTheme="minorHAnsi" w:cstheme="minorHAnsi"/>
          <w:sz w:val="24"/>
          <w:szCs w:val="24"/>
        </w:rPr>
        <w:t xml:space="preserve">he January </w:t>
      </w:r>
      <w:r w:rsidR="000F5599" w:rsidRPr="000F5599">
        <w:rPr>
          <w:rFonts w:asciiTheme="minorHAnsi" w:eastAsiaTheme="minorEastAsia" w:hAnsiTheme="minorHAnsi" w:cstheme="minorHAnsi"/>
          <w:sz w:val="24"/>
          <w:szCs w:val="24"/>
        </w:rPr>
        <w:t>responses will</w:t>
      </w:r>
      <w:r w:rsidR="00E805BB" w:rsidRPr="000F5599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="00435739" w:rsidRPr="000F5599">
        <w:rPr>
          <w:rFonts w:asciiTheme="minorHAnsi" w:eastAsiaTheme="minorEastAsia" w:hAnsiTheme="minorHAnsi" w:cstheme="minorHAnsi"/>
          <w:sz w:val="24"/>
          <w:szCs w:val="24"/>
        </w:rPr>
        <w:t>include</w:t>
      </w:r>
      <w:r w:rsidR="00E805BB" w:rsidRPr="000F5599">
        <w:rPr>
          <w:rFonts w:asciiTheme="minorHAnsi" w:eastAsiaTheme="minorEastAsia" w:hAnsiTheme="minorHAnsi" w:cstheme="minorHAnsi"/>
          <w:sz w:val="24"/>
          <w:szCs w:val="24"/>
        </w:rPr>
        <w:t xml:space="preserve"> more information about</w:t>
      </w:r>
      <w:r w:rsidRPr="000F5599">
        <w:rPr>
          <w:rFonts w:asciiTheme="minorHAnsi" w:eastAsiaTheme="minorEastAsia" w:hAnsiTheme="minorHAnsi" w:cstheme="minorHAnsi"/>
          <w:sz w:val="24"/>
          <w:szCs w:val="24"/>
        </w:rPr>
        <w:t xml:space="preserve"> geologic hazards along the </w:t>
      </w:r>
      <w:r w:rsidR="00BA17DA" w:rsidRPr="000F5599">
        <w:rPr>
          <w:rFonts w:asciiTheme="minorHAnsi" w:eastAsiaTheme="minorEastAsia" w:hAnsiTheme="minorHAnsi" w:cstheme="minorHAnsi"/>
          <w:sz w:val="24"/>
          <w:szCs w:val="24"/>
        </w:rPr>
        <w:t xml:space="preserve">807-mile </w:t>
      </w:r>
      <w:r w:rsidRPr="000F5599">
        <w:rPr>
          <w:rFonts w:asciiTheme="minorHAnsi" w:eastAsiaTheme="minorEastAsia" w:hAnsiTheme="minorHAnsi" w:cstheme="minorHAnsi"/>
          <w:sz w:val="24"/>
          <w:szCs w:val="24"/>
        </w:rPr>
        <w:t>pipeline route from Prudhoe Bay to Nikiski; separate, detailed timeline</w:t>
      </w:r>
      <w:r w:rsidR="001677AA" w:rsidRPr="000F5599">
        <w:rPr>
          <w:rFonts w:asciiTheme="minorHAnsi" w:eastAsiaTheme="minorEastAsia" w:hAnsiTheme="minorHAnsi" w:cstheme="minorHAnsi"/>
          <w:sz w:val="24"/>
          <w:szCs w:val="24"/>
        </w:rPr>
        <w:t>s</w:t>
      </w:r>
      <w:r w:rsidRPr="000F5599">
        <w:rPr>
          <w:rFonts w:asciiTheme="minorHAnsi" w:eastAsiaTheme="minorEastAsia" w:hAnsiTheme="minorHAnsi" w:cstheme="minorHAnsi"/>
          <w:sz w:val="24"/>
          <w:szCs w:val="24"/>
        </w:rPr>
        <w:t xml:space="preserve"> for construction and restoration work in each of six pipeline construction spreads along the mainline and </w:t>
      </w:r>
      <w:r w:rsidR="00BA17DA" w:rsidRPr="000F5599">
        <w:rPr>
          <w:rFonts w:asciiTheme="minorHAnsi" w:eastAsiaTheme="minorEastAsia" w:hAnsiTheme="minorHAnsi" w:cstheme="minorHAnsi"/>
          <w:sz w:val="24"/>
          <w:szCs w:val="24"/>
        </w:rPr>
        <w:t xml:space="preserve">the 63-mile </w:t>
      </w:r>
      <w:r w:rsidRPr="000F5599">
        <w:rPr>
          <w:rFonts w:asciiTheme="minorHAnsi" w:eastAsiaTheme="minorEastAsia" w:hAnsiTheme="minorHAnsi" w:cstheme="minorHAnsi"/>
          <w:sz w:val="24"/>
          <w:szCs w:val="24"/>
        </w:rPr>
        <w:t xml:space="preserve">Point Thomson pipeline; </w:t>
      </w:r>
      <w:r w:rsidR="000F5599" w:rsidRPr="000F5599">
        <w:rPr>
          <w:rFonts w:asciiTheme="minorHAnsi" w:eastAsia="Times New Roman" w:hAnsiTheme="minorHAnsi" w:cstheme="minorHAnsi"/>
          <w:sz w:val="24"/>
          <w:szCs w:val="24"/>
        </w:rPr>
        <w:t xml:space="preserve">and a response to assertions made by the city of Valdez and Alaska Gasline Port Authority that Valdez would be a better site for the project’s gas liquefaction plant and marine terminal than Nikiski.  </w:t>
      </w:r>
    </w:p>
    <w:p w:rsidR="000F5599" w:rsidRPr="000F5599" w:rsidRDefault="000F5599" w:rsidP="000F5599">
      <w:pPr>
        <w:spacing w:after="0"/>
        <w:rPr>
          <w:rFonts w:asciiTheme="minorHAnsi" w:eastAsia="Times New Roman" w:hAnsiTheme="minorHAnsi" w:cstheme="minorHAnsi"/>
          <w:sz w:val="24"/>
          <w:szCs w:val="24"/>
        </w:rPr>
      </w:pPr>
    </w:p>
    <w:p w:rsidR="00CE2DE5" w:rsidRDefault="00303CDF" w:rsidP="00AF287D">
      <w:pPr>
        <w:spacing w:after="0"/>
        <w:rPr>
          <w:rFonts w:asciiTheme="minorHAnsi" w:eastAsiaTheme="minorEastAsia" w:hAnsiTheme="minorHAnsi"/>
          <w:sz w:val="24"/>
          <w:szCs w:val="24"/>
        </w:rPr>
      </w:pPr>
      <w:r>
        <w:rPr>
          <w:rFonts w:asciiTheme="minorHAnsi" w:eastAsiaTheme="minorEastAsia" w:hAnsiTheme="minorHAnsi"/>
          <w:sz w:val="24"/>
          <w:szCs w:val="24"/>
        </w:rPr>
        <w:t xml:space="preserve">The Federal Energy Regulatory Commission (FERC) </w:t>
      </w:r>
      <w:r w:rsidR="00DF14F8">
        <w:rPr>
          <w:rFonts w:asciiTheme="minorHAnsi" w:eastAsiaTheme="minorEastAsia" w:hAnsiTheme="minorHAnsi"/>
          <w:sz w:val="24"/>
          <w:szCs w:val="24"/>
        </w:rPr>
        <w:t xml:space="preserve">will not set a </w:t>
      </w:r>
      <w:r w:rsidR="00206847">
        <w:rPr>
          <w:rFonts w:asciiTheme="minorHAnsi" w:eastAsiaTheme="minorEastAsia" w:hAnsiTheme="minorHAnsi"/>
          <w:sz w:val="24"/>
          <w:szCs w:val="24"/>
        </w:rPr>
        <w:t>timeline</w:t>
      </w:r>
      <w:r w:rsidR="00DF14F8">
        <w:rPr>
          <w:rFonts w:asciiTheme="minorHAnsi" w:eastAsiaTheme="minorEastAsia" w:hAnsiTheme="minorHAnsi"/>
          <w:sz w:val="24"/>
          <w:szCs w:val="24"/>
        </w:rPr>
        <w:t xml:space="preserve"> for the Alaska LNG project’s environmental impact statement </w:t>
      </w:r>
      <w:r w:rsidR="00206847">
        <w:rPr>
          <w:rFonts w:asciiTheme="minorHAnsi" w:eastAsiaTheme="minorEastAsia" w:hAnsiTheme="minorHAnsi"/>
          <w:sz w:val="24"/>
          <w:szCs w:val="24"/>
        </w:rPr>
        <w:t xml:space="preserve">(EIS) </w:t>
      </w:r>
      <w:r w:rsidR="00DF14F8">
        <w:rPr>
          <w:rFonts w:asciiTheme="minorHAnsi" w:eastAsiaTheme="minorEastAsia" w:hAnsiTheme="minorHAnsi"/>
          <w:sz w:val="24"/>
          <w:szCs w:val="24"/>
        </w:rPr>
        <w:t xml:space="preserve">until it is confident </w:t>
      </w:r>
      <w:r w:rsidR="00FD3634">
        <w:rPr>
          <w:rFonts w:asciiTheme="minorHAnsi" w:eastAsiaTheme="minorEastAsia" w:hAnsiTheme="minorHAnsi"/>
          <w:sz w:val="24"/>
          <w:szCs w:val="24"/>
        </w:rPr>
        <w:t>it</w:t>
      </w:r>
      <w:r w:rsidR="00DF14F8">
        <w:rPr>
          <w:rFonts w:asciiTheme="minorHAnsi" w:eastAsiaTheme="minorEastAsia" w:hAnsiTheme="minorHAnsi"/>
          <w:sz w:val="24"/>
          <w:szCs w:val="24"/>
        </w:rPr>
        <w:t xml:space="preserve"> has sufficient </w:t>
      </w:r>
      <w:r w:rsidR="00F16C12">
        <w:rPr>
          <w:rFonts w:asciiTheme="minorHAnsi" w:eastAsiaTheme="minorEastAsia" w:hAnsiTheme="minorHAnsi"/>
          <w:sz w:val="24"/>
          <w:szCs w:val="24"/>
        </w:rPr>
        <w:t>information to predict its work schedule and that of other federal agencies involved in the review process.</w:t>
      </w:r>
    </w:p>
    <w:p w:rsidR="00CE2DE5" w:rsidRDefault="00CE2DE5" w:rsidP="00AF287D">
      <w:pPr>
        <w:spacing w:after="0"/>
        <w:rPr>
          <w:rFonts w:asciiTheme="minorHAnsi" w:eastAsiaTheme="minorEastAsia" w:hAnsiTheme="minorHAnsi"/>
          <w:sz w:val="24"/>
          <w:szCs w:val="24"/>
        </w:rPr>
      </w:pPr>
    </w:p>
    <w:p w:rsidR="00B7686C" w:rsidRDefault="00091700" w:rsidP="00AF287D">
      <w:pPr>
        <w:spacing w:after="0"/>
        <w:rPr>
          <w:rFonts w:asciiTheme="minorHAnsi" w:eastAsiaTheme="minorEastAsia" w:hAnsiTheme="minorHAnsi"/>
          <w:sz w:val="24"/>
          <w:szCs w:val="24"/>
        </w:rPr>
      </w:pPr>
      <w:r>
        <w:rPr>
          <w:rFonts w:asciiTheme="minorHAnsi" w:eastAsiaTheme="minorEastAsia" w:hAnsiTheme="minorHAnsi"/>
          <w:sz w:val="24"/>
          <w:szCs w:val="24"/>
        </w:rPr>
        <w:t xml:space="preserve">In its April </w:t>
      </w:r>
      <w:r w:rsidR="00CE2DE5">
        <w:rPr>
          <w:rFonts w:asciiTheme="minorHAnsi" w:eastAsiaTheme="minorEastAsia" w:hAnsiTheme="minorHAnsi"/>
          <w:sz w:val="24"/>
          <w:szCs w:val="24"/>
        </w:rPr>
        <w:t xml:space="preserve">2017 </w:t>
      </w:r>
      <w:r>
        <w:rPr>
          <w:rFonts w:asciiTheme="minorHAnsi" w:eastAsiaTheme="minorEastAsia" w:hAnsiTheme="minorHAnsi"/>
          <w:sz w:val="24"/>
          <w:szCs w:val="24"/>
        </w:rPr>
        <w:t>project application to FERC, t</w:t>
      </w:r>
      <w:r w:rsidR="00B7686C">
        <w:rPr>
          <w:rFonts w:asciiTheme="minorHAnsi" w:eastAsiaTheme="minorEastAsia" w:hAnsiTheme="minorHAnsi"/>
          <w:sz w:val="24"/>
          <w:szCs w:val="24"/>
        </w:rPr>
        <w:t xml:space="preserve">he state corporation asked for a </w:t>
      </w:r>
      <w:r>
        <w:rPr>
          <w:rFonts w:asciiTheme="minorHAnsi" w:eastAsiaTheme="minorEastAsia" w:hAnsiTheme="minorHAnsi"/>
          <w:sz w:val="24"/>
          <w:szCs w:val="24"/>
        </w:rPr>
        <w:t xml:space="preserve">draft EIS in summer 2018 and a </w:t>
      </w:r>
      <w:r w:rsidR="00B7686C">
        <w:rPr>
          <w:rFonts w:asciiTheme="minorHAnsi" w:eastAsiaTheme="minorEastAsia" w:hAnsiTheme="minorHAnsi"/>
          <w:sz w:val="24"/>
          <w:szCs w:val="24"/>
        </w:rPr>
        <w:t xml:space="preserve">final impact statement and </w:t>
      </w:r>
      <w:r>
        <w:rPr>
          <w:rFonts w:asciiTheme="minorHAnsi" w:eastAsiaTheme="minorEastAsia" w:hAnsiTheme="minorHAnsi"/>
          <w:sz w:val="24"/>
          <w:szCs w:val="24"/>
        </w:rPr>
        <w:t xml:space="preserve">FERC </w:t>
      </w:r>
      <w:r w:rsidR="00B7686C">
        <w:rPr>
          <w:rFonts w:asciiTheme="minorHAnsi" w:eastAsiaTheme="minorEastAsia" w:hAnsiTheme="minorHAnsi"/>
          <w:sz w:val="24"/>
          <w:szCs w:val="24"/>
        </w:rPr>
        <w:t>decision by December 2018.</w:t>
      </w:r>
      <w:r w:rsidR="00500DE5">
        <w:rPr>
          <w:rFonts w:asciiTheme="minorHAnsi" w:eastAsiaTheme="minorEastAsia" w:hAnsiTheme="minorHAnsi"/>
          <w:sz w:val="24"/>
          <w:szCs w:val="24"/>
        </w:rPr>
        <w:t xml:space="preserve"> </w:t>
      </w:r>
      <w:r w:rsidR="00CE2DE5">
        <w:rPr>
          <w:rFonts w:asciiTheme="minorHAnsi" w:eastAsiaTheme="minorEastAsia" w:hAnsiTheme="minorHAnsi"/>
          <w:sz w:val="24"/>
          <w:szCs w:val="24"/>
        </w:rPr>
        <w:t xml:space="preserve"> Impact statements for LNG projects of similar size to the</w:t>
      </w:r>
      <w:r w:rsidR="00BA17DA">
        <w:rPr>
          <w:rFonts w:asciiTheme="minorHAnsi" w:eastAsiaTheme="minorEastAsia" w:hAnsiTheme="minorHAnsi"/>
          <w:sz w:val="24"/>
          <w:szCs w:val="24"/>
        </w:rPr>
        <w:t xml:space="preserve"> Alaska venture — but without 87</w:t>
      </w:r>
      <w:r w:rsidR="00CE2DE5">
        <w:rPr>
          <w:rFonts w:asciiTheme="minorHAnsi" w:eastAsiaTheme="minorEastAsia" w:hAnsiTheme="minorHAnsi"/>
          <w:sz w:val="24"/>
          <w:szCs w:val="24"/>
        </w:rPr>
        <w:t xml:space="preserve">0 miles of pipeline — have taken </w:t>
      </w:r>
      <w:r w:rsidR="00206847">
        <w:rPr>
          <w:rFonts w:asciiTheme="minorHAnsi" w:eastAsiaTheme="minorEastAsia" w:hAnsiTheme="minorHAnsi"/>
          <w:sz w:val="24"/>
          <w:szCs w:val="24"/>
        </w:rPr>
        <w:t xml:space="preserve">more than </w:t>
      </w:r>
      <w:r w:rsidR="00CE2DE5">
        <w:rPr>
          <w:rFonts w:asciiTheme="minorHAnsi" w:eastAsiaTheme="minorEastAsia" w:hAnsiTheme="minorHAnsi"/>
          <w:sz w:val="24"/>
          <w:szCs w:val="24"/>
        </w:rPr>
        <w:t>two years.</w:t>
      </w:r>
    </w:p>
    <w:p w:rsidR="00CF5151" w:rsidRDefault="00CF5151" w:rsidP="00AF287D">
      <w:pPr>
        <w:spacing w:after="0"/>
        <w:rPr>
          <w:rFonts w:asciiTheme="minorHAnsi" w:eastAsiaTheme="minorEastAsia" w:hAnsiTheme="minorHAnsi"/>
          <w:sz w:val="24"/>
          <w:szCs w:val="24"/>
        </w:rPr>
      </w:pPr>
    </w:p>
    <w:p w:rsidR="00CF5151" w:rsidRDefault="00CF5151" w:rsidP="00AF287D">
      <w:pPr>
        <w:spacing w:after="0"/>
        <w:rPr>
          <w:rFonts w:asciiTheme="minorHAnsi" w:eastAsiaTheme="minorEastAsia" w:hAnsiTheme="minorHAnsi"/>
          <w:sz w:val="24"/>
          <w:szCs w:val="24"/>
        </w:rPr>
      </w:pPr>
      <w:r>
        <w:rPr>
          <w:rFonts w:asciiTheme="minorHAnsi" w:eastAsiaTheme="minorEastAsia" w:hAnsiTheme="minorHAnsi"/>
          <w:sz w:val="24"/>
          <w:szCs w:val="24"/>
        </w:rPr>
        <w:t>AGDC staff reported to the board of directors Aug. 10 that the corporation expects FERC to issue its EIS schedule this fall.</w:t>
      </w:r>
    </w:p>
    <w:p w:rsidR="00DF14F8" w:rsidRDefault="00DF14F8" w:rsidP="00AF287D">
      <w:pPr>
        <w:spacing w:after="0"/>
        <w:rPr>
          <w:rFonts w:asciiTheme="minorHAnsi" w:eastAsiaTheme="minorEastAsia" w:hAnsiTheme="minorHAnsi"/>
          <w:sz w:val="24"/>
          <w:szCs w:val="24"/>
        </w:rPr>
      </w:pPr>
    </w:p>
    <w:p w:rsidR="00206847" w:rsidRPr="00206847" w:rsidRDefault="00206847" w:rsidP="00AF287D">
      <w:pPr>
        <w:spacing w:after="0"/>
        <w:rPr>
          <w:rFonts w:asciiTheme="minorHAnsi" w:eastAsiaTheme="minorEastAsia" w:hAnsiTheme="minorHAnsi"/>
          <w:b/>
          <w:sz w:val="24"/>
          <w:szCs w:val="24"/>
        </w:rPr>
      </w:pPr>
      <w:r w:rsidRPr="00206847">
        <w:rPr>
          <w:rFonts w:asciiTheme="minorHAnsi" w:eastAsiaTheme="minorEastAsia" w:hAnsiTheme="minorHAnsi"/>
          <w:b/>
          <w:sz w:val="24"/>
          <w:szCs w:val="24"/>
        </w:rPr>
        <w:t>FERC ASKS FOR MORE INFORMATION</w:t>
      </w:r>
    </w:p>
    <w:p w:rsidR="00206847" w:rsidRDefault="00206847" w:rsidP="00AF287D">
      <w:pPr>
        <w:spacing w:after="0"/>
        <w:rPr>
          <w:rFonts w:asciiTheme="minorHAnsi" w:eastAsiaTheme="minorEastAsia" w:hAnsiTheme="minorHAnsi"/>
          <w:sz w:val="24"/>
          <w:szCs w:val="24"/>
        </w:rPr>
      </w:pPr>
    </w:p>
    <w:p w:rsidR="00FD1A2D" w:rsidRDefault="00091700" w:rsidP="00AF287D">
      <w:pPr>
        <w:spacing w:after="0"/>
        <w:rPr>
          <w:rFonts w:asciiTheme="minorHAnsi" w:eastAsiaTheme="minorEastAsia" w:hAnsiTheme="minorHAnsi"/>
          <w:sz w:val="24"/>
          <w:szCs w:val="24"/>
        </w:rPr>
      </w:pPr>
      <w:r>
        <w:rPr>
          <w:rFonts w:asciiTheme="minorHAnsi" w:eastAsiaTheme="minorEastAsia" w:hAnsiTheme="minorHAnsi"/>
          <w:sz w:val="24"/>
          <w:szCs w:val="24"/>
        </w:rPr>
        <w:t xml:space="preserve">While the Alaska Gasline Development Corp. (AGDC) was working on its responses to </w:t>
      </w:r>
      <w:hyperlink r:id="rId10" w:history="1">
        <w:r w:rsidRPr="00971B44">
          <w:rPr>
            <w:rStyle w:val="Hyperlink"/>
            <w:rFonts w:asciiTheme="minorHAnsi" w:eastAsiaTheme="minorEastAsia" w:hAnsiTheme="minorHAnsi"/>
            <w:sz w:val="24"/>
            <w:szCs w:val="24"/>
          </w:rPr>
          <w:t xml:space="preserve">FERC’s </w:t>
        </w:r>
        <w:r w:rsidR="00FD1A2D" w:rsidRPr="00971B44">
          <w:rPr>
            <w:rStyle w:val="Hyperlink"/>
            <w:rFonts w:asciiTheme="minorHAnsi" w:eastAsiaTheme="minorEastAsia" w:hAnsiTheme="minorHAnsi"/>
            <w:sz w:val="24"/>
            <w:szCs w:val="24"/>
          </w:rPr>
          <w:t>July 5 data request</w:t>
        </w:r>
      </w:hyperlink>
      <w:r w:rsidR="00FD1A2D">
        <w:rPr>
          <w:rFonts w:asciiTheme="minorHAnsi" w:eastAsiaTheme="minorEastAsia" w:hAnsiTheme="minorHAnsi"/>
          <w:sz w:val="24"/>
          <w:szCs w:val="24"/>
        </w:rPr>
        <w:t xml:space="preserve"> totaling 55 pages</w:t>
      </w:r>
      <w:r w:rsidR="003014F0">
        <w:rPr>
          <w:rFonts w:asciiTheme="minorHAnsi" w:eastAsiaTheme="minorEastAsia" w:hAnsiTheme="minorHAnsi"/>
          <w:sz w:val="24"/>
          <w:szCs w:val="24"/>
        </w:rPr>
        <w:t xml:space="preserve"> and 278 questions</w:t>
      </w:r>
      <w:r w:rsidR="00FD1A2D">
        <w:rPr>
          <w:rFonts w:asciiTheme="minorHAnsi" w:eastAsiaTheme="minorEastAsia" w:hAnsiTheme="minorHAnsi"/>
          <w:sz w:val="24"/>
          <w:szCs w:val="24"/>
        </w:rPr>
        <w:t xml:space="preserve">, </w:t>
      </w:r>
      <w:hyperlink r:id="rId11" w:history="1">
        <w:r w:rsidRPr="00971B44">
          <w:rPr>
            <w:rStyle w:val="Hyperlink"/>
            <w:rFonts w:asciiTheme="minorHAnsi" w:eastAsiaTheme="minorEastAsia" w:hAnsiTheme="minorHAnsi"/>
            <w:sz w:val="24"/>
            <w:szCs w:val="24"/>
          </w:rPr>
          <w:t xml:space="preserve">federal regulators </w:t>
        </w:r>
        <w:r w:rsidR="005B6FEF" w:rsidRPr="00971B44">
          <w:rPr>
            <w:rStyle w:val="Hyperlink"/>
            <w:rFonts w:asciiTheme="minorHAnsi" w:eastAsiaTheme="minorEastAsia" w:hAnsiTheme="minorHAnsi"/>
            <w:sz w:val="24"/>
            <w:szCs w:val="24"/>
          </w:rPr>
          <w:t xml:space="preserve">on </w:t>
        </w:r>
        <w:r w:rsidR="00FD1A2D" w:rsidRPr="00971B44">
          <w:rPr>
            <w:rStyle w:val="Hyperlink"/>
            <w:rFonts w:asciiTheme="minorHAnsi" w:eastAsiaTheme="minorEastAsia" w:hAnsiTheme="minorHAnsi"/>
            <w:sz w:val="24"/>
            <w:szCs w:val="24"/>
          </w:rPr>
          <w:t xml:space="preserve">July 28 </w:t>
        </w:r>
        <w:r w:rsidR="005B6FEF" w:rsidRPr="00971B44">
          <w:rPr>
            <w:rStyle w:val="Hyperlink"/>
            <w:rFonts w:asciiTheme="minorHAnsi" w:eastAsiaTheme="minorEastAsia" w:hAnsiTheme="minorHAnsi"/>
            <w:sz w:val="24"/>
            <w:szCs w:val="24"/>
          </w:rPr>
          <w:t xml:space="preserve">sent </w:t>
        </w:r>
        <w:r w:rsidR="00FD1A2D" w:rsidRPr="00971B44">
          <w:rPr>
            <w:rStyle w:val="Hyperlink"/>
            <w:rFonts w:asciiTheme="minorHAnsi" w:eastAsiaTheme="minorEastAsia" w:hAnsiTheme="minorHAnsi"/>
            <w:sz w:val="24"/>
            <w:szCs w:val="24"/>
          </w:rPr>
          <w:t xml:space="preserve">an additional 40 pages with </w:t>
        </w:r>
        <w:r w:rsidR="00CF5151">
          <w:rPr>
            <w:rStyle w:val="Hyperlink"/>
            <w:rFonts w:asciiTheme="minorHAnsi" w:eastAsiaTheme="minorEastAsia" w:hAnsiTheme="minorHAnsi"/>
            <w:sz w:val="24"/>
            <w:szCs w:val="24"/>
          </w:rPr>
          <w:t>about</w:t>
        </w:r>
        <w:r w:rsidR="00FD1A2D" w:rsidRPr="00971B44">
          <w:rPr>
            <w:rStyle w:val="Hyperlink"/>
            <w:rFonts w:asciiTheme="minorHAnsi" w:eastAsiaTheme="minorEastAsia" w:hAnsiTheme="minorHAnsi"/>
            <w:sz w:val="24"/>
            <w:szCs w:val="24"/>
          </w:rPr>
          <w:t xml:space="preserve"> 200 </w:t>
        </w:r>
        <w:r w:rsidR="003014F0" w:rsidRPr="00971B44">
          <w:rPr>
            <w:rStyle w:val="Hyperlink"/>
            <w:rFonts w:asciiTheme="minorHAnsi" w:eastAsiaTheme="minorEastAsia" w:hAnsiTheme="minorHAnsi"/>
            <w:sz w:val="24"/>
            <w:szCs w:val="24"/>
          </w:rPr>
          <w:t xml:space="preserve">new </w:t>
        </w:r>
        <w:r w:rsidR="005B6FEF" w:rsidRPr="00971B44">
          <w:rPr>
            <w:rStyle w:val="Hyperlink"/>
            <w:rFonts w:asciiTheme="minorHAnsi" w:eastAsiaTheme="minorEastAsia" w:hAnsiTheme="minorHAnsi"/>
            <w:sz w:val="24"/>
            <w:szCs w:val="24"/>
          </w:rPr>
          <w:t>questions</w:t>
        </w:r>
        <w:r w:rsidR="00FD1A2D" w:rsidRPr="00971B44">
          <w:rPr>
            <w:rStyle w:val="Hyperlink"/>
            <w:rFonts w:asciiTheme="minorHAnsi" w:eastAsiaTheme="minorEastAsia" w:hAnsiTheme="minorHAnsi"/>
            <w:sz w:val="24"/>
            <w:szCs w:val="24"/>
          </w:rPr>
          <w:t xml:space="preserve"> to the state corporation</w:t>
        </w:r>
      </w:hyperlink>
      <w:r w:rsidR="00FD1A2D">
        <w:rPr>
          <w:rFonts w:asciiTheme="minorHAnsi" w:eastAsiaTheme="minorEastAsia" w:hAnsiTheme="minorHAnsi"/>
          <w:sz w:val="24"/>
          <w:szCs w:val="24"/>
        </w:rPr>
        <w:t>.</w:t>
      </w:r>
      <w:r w:rsidR="00EA12EA">
        <w:rPr>
          <w:rFonts w:asciiTheme="minorHAnsi" w:eastAsiaTheme="minorEastAsia" w:hAnsiTheme="minorHAnsi"/>
          <w:sz w:val="24"/>
          <w:szCs w:val="24"/>
        </w:rPr>
        <w:t xml:space="preserve"> </w:t>
      </w:r>
      <w:r w:rsidR="00500DE5">
        <w:rPr>
          <w:rFonts w:asciiTheme="minorHAnsi" w:eastAsiaTheme="minorEastAsia" w:hAnsiTheme="minorHAnsi"/>
          <w:sz w:val="24"/>
          <w:szCs w:val="24"/>
        </w:rPr>
        <w:t xml:space="preserve"> </w:t>
      </w:r>
      <w:r w:rsidR="004D3C57">
        <w:rPr>
          <w:rFonts w:asciiTheme="minorHAnsi" w:eastAsiaTheme="minorEastAsia" w:hAnsiTheme="minorHAnsi"/>
          <w:sz w:val="24"/>
          <w:szCs w:val="24"/>
        </w:rPr>
        <w:t xml:space="preserve">The second batch of questions covered the project’s </w:t>
      </w:r>
      <w:r w:rsidR="00206847">
        <w:rPr>
          <w:rFonts w:asciiTheme="minorHAnsi" w:eastAsiaTheme="minorEastAsia" w:hAnsiTheme="minorHAnsi"/>
          <w:sz w:val="24"/>
          <w:szCs w:val="24"/>
        </w:rPr>
        <w:t xml:space="preserve">resource </w:t>
      </w:r>
      <w:r w:rsidR="004D3C57">
        <w:rPr>
          <w:rFonts w:asciiTheme="minorHAnsi" w:eastAsiaTheme="minorEastAsia" w:hAnsiTheme="minorHAnsi"/>
          <w:sz w:val="24"/>
          <w:szCs w:val="24"/>
        </w:rPr>
        <w:t>reports on socioeconomics</w:t>
      </w:r>
      <w:r w:rsidR="005B6FEF">
        <w:rPr>
          <w:rFonts w:asciiTheme="minorHAnsi" w:eastAsiaTheme="minorEastAsia" w:hAnsiTheme="minorHAnsi"/>
          <w:sz w:val="24"/>
          <w:szCs w:val="24"/>
        </w:rPr>
        <w:t>;</w:t>
      </w:r>
      <w:r w:rsidR="004D3C57">
        <w:rPr>
          <w:rFonts w:asciiTheme="minorHAnsi" w:eastAsiaTheme="minorEastAsia" w:hAnsiTheme="minorHAnsi"/>
          <w:sz w:val="24"/>
          <w:szCs w:val="24"/>
        </w:rPr>
        <w:t xml:space="preserve"> air and noise quality</w:t>
      </w:r>
      <w:r w:rsidR="005B6FEF">
        <w:rPr>
          <w:rFonts w:asciiTheme="minorHAnsi" w:eastAsiaTheme="minorEastAsia" w:hAnsiTheme="minorHAnsi"/>
          <w:sz w:val="24"/>
          <w:szCs w:val="24"/>
        </w:rPr>
        <w:t>;</w:t>
      </w:r>
      <w:r w:rsidR="004D3C57">
        <w:rPr>
          <w:rFonts w:asciiTheme="minorHAnsi" w:eastAsiaTheme="minorEastAsia" w:hAnsiTheme="minorHAnsi"/>
          <w:sz w:val="24"/>
          <w:szCs w:val="24"/>
        </w:rPr>
        <w:t xml:space="preserve"> and land use, recreation and visual resources.</w:t>
      </w:r>
    </w:p>
    <w:p w:rsidR="004D3C57" w:rsidRDefault="004D3C57" w:rsidP="00AF287D">
      <w:pPr>
        <w:spacing w:after="0"/>
        <w:rPr>
          <w:rFonts w:asciiTheme="minorHAnsi" w:eastAsiaTheme="minorEastAsia" w:hAnsiTheme="minorHAnsi"/>
          <w:sz w:val="24"/>
          <w:szCs w:val="24"/>
        </w:rPr>
      </w:pPr>
    </w:p>
    <w:p w:rsidR="006A58B1" w:rsidRDefault="00EA12EA" w:rsidP="00AF287D">
      <w:pPr>
        <w:spacing w:after="0"/>
        <w:rPr>
          <w:rFonts w:asciiTheme="minorHAnsi" w:eastAsiaTheme="minorEastAsia" w:hAnsiTheme="minorHAnsi"/>
          <w:sz w:val="24"/>
          <w:szCs w:val="24"/>
        </w:rPr>
      </w:pPr>
      <w:r>
        <w:rPr>
          <w:rFonts w:asciiTheme="minorHAnsi" w:eastAsiaTheme="minorEastAsia" w:hAnsiTheme="minorHAnsi"/>
          <w:sz w:val="24"/>
          <w:szCs w:val="24"/>
        </w:rPr>
        <w:t>AGDC</w:t>
      </w:r>
      <w:r w:rsidR="005B6FEF">
        <w:rPr>
          <w:rFonts w:asciiTheme="minorHAnsi" w:eastAsiaTheme="minorEastAsia" w:hAnsiTheme="minorHAnsi"/>
          <w:sz w:val="24"/>
          <w:szCs w:val="24"/>
        </w:rPr>
        <w:t xml:space="preserve"> is still waiting to receive FERC’s data request</w:t>
      </w:r>
      <w:r>
        <w:rPr>
          <w:rFonts w:asciiTheme="minorHAnsi" w:eastAsiaTheme="minorEastAsia" w:hAnsiTheme="minorHAnsi"/>
          <w:sz w:val="24"/>
          <w:szCs w:val="24"/>
        </w:rPr>
        <w:t>s</w:t>
      </w:r>
      <w:r w:rsidR="005B6FEF">
        <w:rPr>
          <w:rFonts w:asciiTheme="minorHAnsi" w:eastAsiaTheme="minorEastAsia" w:hAnsiTheme="minorHAnsi"/>
          <w:sz w:val="24"/>
          <w:szCs w:val="24"/>
        </w:rPr>
        <w:t xml:space="preserve"> on three more </w:t>
      </w:r>
      <w:r w:rsidR="00206847">
        <w:rPr>
          <w:rFonts w:asciiTheme="minorHAnsi" w:eastAsiaTheme="minorEastAsia" w:hAnsiTheme="minorHAnsi"/>
          <w:sz w:val="24"/>
          <w:szCs w:val="24"/>
        </w:rPr>
        <w:t xml:space="preserve">of the project’s </w:t>
      </w:r>
      <w:r w:rsidR="005B6FEF">
        <w:rPr>
          <w:rFonts w:asciiTheme="minorHAnsi" w:eastAsiaTheme="minorEastAsia" w:hAnsiTheme="minorHAnsi"/>
          <w:sz w:val="24"/>
          <w:szCs w:val="24"/>
        </w:rPr>
        <w:t xml:space="preserve">resource reports </w:t>
      </w:r>
      <w:r w:rsidR="00206847">
        <w:rPr>
          <w:rFonts w:asciiTheme="minorHAnsi" w:eastAsiaTheme="minorEastAsia" w:hAnsiTheme="minorHAnsi"/>
          <w:sz w:val="24"/>
          <w:szCs w:val="24"/>
        </w:rPr>
        <w:t xml:space="preserve">that will become </w:t>
      </w:r>
      <w:r w:rsidR="00CF5151">
        <w:rPr>
          <w:rFonts w:asciiTheme="minorHAnsi" w:eastAsiaTheme="minorEastAsia" w:hAnsiTheme="minorHAnsi"/>
          <w:sz w:val="24"/>
          <w:szCs w:val="24"/>
        </w:rPr>
        <w:t xml:space="preserve">part of </w:t>
      </w:r>
      <w:r w:rsidR="00206847">
        <w:rPr>
          <w:rFonts w:asciiTheme="minorHAnsi" w:eastAsiaTheme="minorEastAsia" w:hAnsiTheme="minorHAnsi"/>
          <w:sz w:val="24"/>
          <w:szCs w:val="24"/>
        </w:rPr>
        <w:t>the foundation for the EIS</w:t>
      </w:r>
      <w:r w:rsidR="005B6FEF">
        <w:rPr>
          <w:rFonts w:asciiTheme="minorHAnsi" w:eastAsiaTheme="minorEastAsia" w:hAnsiTheme="minorHAnsi"/>
          <w:sz w:val="24"/>
          <w:szCs w:val="24"/>
        </w:rPr>
        <w:t xml:space="preserve">: water use and quality, and </w:t>
      </w:r>
      <w:r w:rsidR="005B6FEF">
        <w:rPr>
          <w:rFonts w:asciiTheme="minorHAnsi" w:eastAsiaTheme="minorEastAsia" w:hAnsiTheme="minorHAnsi"/>
          <w:sz w:val="24"/>
          <w:szCs w:val="24"/>
        </w:rPr>
        <w:lastRenderedPageBreak/>
        <w:t>wastewater discharge; fish, wildlife and vegetation; and cultural resources.</w:t>
      </w:r>
      <w:r w:rsidR="003014F0">
        <w:rPr>
          <w:rFonts w:asciiTheme="minorHAnsi" w:eastAsiaTheme="minorEastAsia" w:hAnsiTheme="minorHAnsi"/>
          <w:sz w:val="24"/>
          <w:szCs w:val="24"/>
        </w:rPr>
        <w:t xml:space="preserve"> </w:t>
      </w:r>
      <w:r w:rsidR="00500DE5">
        <w:rPr>
          <w:rFonts w:asciiTheme="minorHAnsi" w:eastAsiaTheme="minorEastAsia" w:hAnsiTheme="minorHAnsi"/>
          <w:sz w:val="24"/>
          <w:szCs w:val="24"/>
        </w:rPr>
        <w:t xml:space="preserve"> </w:t>
      </w:r>
      <w:r w:rsidR="003014F0">
        <w:rPr>
          <w:rFonts w:asciiTheme="minorHAnsi" w:eastAsiaTheme="minorEastAsia" w:hAnsiTheme="minorHAnsi"/>
          <w:sz w:val="24"/>
          <w:szCs w:val="24"/>
        </w:rPr>
        <w:t>The state submitted a dozen resource reports with its application in April.</w:t>
      </w:r>
    </w:p>
    <w:p w:rsidR="005B6FEF" w:rsidRDefault="005B6FEF" w:rsidP="00AF287D">
      <w:pPr>
        <w:spacing w:after="0"/>
        <w:rPr>
          <w:rFonts w:asciiTheme="minorHAnsi" w:eastAsiaTheme="minorEastAsia" w:hAnsiTheme="minorHAnsi"/>
          <w:sz w:val="24"/>
          <w:szCs w:val="24"/>
        </w:rPr>
      </w:pPr>
    </w:p>
    <w:p w:rsidR="00EA12EA" w:rsidRDefault="00EA12EA" w:rsidP="00FD1A2D">
      <w:pPr>
        <w:spacing w:after="0"/>
        <w:rPr>
          <w:rFonts w:asciiTheme="minorHAnsi" w:eastAsiaTheme="minorEastAsia" w:hAnsiTheme="minorHAnsi"/>
          <w:sz w:val="24"/>
          <w:szCs w:val="24"/>
        </w:rPr>
      </w:pPr>
      <w:r>
        <w:rPr>
          <w:rFonts w:asciiTheme="minorHAnsi" w:eastAsiaTheme="minorEastAsia" w:hAnsiTheme="minorHAnsi"/>
          <w:sz w:val="24"/>
          <w:szCs w:val="24"/>
        </w:rPr>
        <w:t>The state corporation took over permitting, engineering and marketing efforts on the $45 billion Alaska LNG project more than a year ago after North Slope oil and gas producers ExxonMobil, BP and ConocoPhillips declined to spend the substantial sums of money required to complete that work</w:t>
      </w:r>
      <w:r w:rsidR="00CC13F6">
        <w:rPr>
          <w:rFonts w:asciiTheme="minorHAnsi" w:eastAsiaTheme="minorEastAsia" w:hAnsiTheme="minorHAnsi"/>
          <w:sz w:val="24"/>
          <w:szCs w:val="24"/>
        </w:rPr>
        <w:t xml:space="preserve">, citing weak </w:t>
      </w:r>
      <w:r w:rsidR="00CF5151">
        <w:rPr>
          <w:rFonts w:asciiTheme="minorHAnsi" w:eastAsiaTheme="minorEastAsia" w:hAnsiTheme="minorHAnsi"/>
          <w:sz w:val="24"/>
          <w:szCs w:val="24"/>
        </w:rPr>
        <w:t xml:space="preserve">global </w:t>
      </w:r>
      <w:r w:rsidR="00CC13F6">
        <w:rPr>
          <w:rFonts w:asciiTheme="minorHAnsi" w:eastAsiaTheme="minorEastAsia" w:hAnsiTheme="minorHAnsi"/>
          <w:sz w:val="24"/>
          <w:szCs w:val="24"/>
        </w:rPr>
        <w:t>market conditions</w:t>
      </w:r>
      <w:r>
        <w:rPr>
          <w:rFonts w:asciiTheme="minorHAnsi" w:eastAsiaTheme="minorEastAsia" w:hAnsiTheme="minorHAnsi"/>
          <w:sz w:val="24"/>
          <w:szCs w:val="24"/>
        </w:rPr>
        <w:t>.</w:t>
      </w:r>
      <w:r w:rsidR="00500DE5">
        <w:rPr>
          <w:rFonts w:asciiTheme="minorHAnsi" w:eastAsiaTheme="minorEastAsia" w:hAnsiTheme="minorHAnsi"/>
          <w:sz w:val="24"/>
          <w:szCs w:val="24"/>
        </w:rPr>
        <w:t xml:space="preserve"> </w:t>
      </w:r>
      <w:r>
        <w:rPr>
          <w:rFonts w:asciiTheme="minorHAnsi" w:eastAsiaTheme="minorEastAsia" w:hAnsiTheme="minorHAnsi"/>
          <w:sz w:val="24"/>
          <w:szCs w:val="24"/>
        </w:rPr>
        <w:t xml:space="preserve"> The companies </w:t>
      </w:r>
      <w:r w:rsidR="00206847">
        <w:rPr>
          <w:rFonts w:asciiTheme="minorHAnsi" w:eastAsiaTheme="minorEastAsia" w:hAnsiTheme="minorHAnsi"/>
          <w:sz w:val="24"/>
          <w:szCs w:val="24"/>
        </w:rPr>
        <w:t xml:space="preserve">already </w:t>
      </w:r>
      <w:r w:rsidR="00CC13F6">
        <w:rPr>
          <w:rFonts w:asciiTheme="minorHAnsi" w:eastAsiaTheme="minorEastAsia" w:hAnsiTheme="minorHAnsi"/>
          <w:sz w:val="24"/>
          <w:szCs w:val="24"/>
        </w:rPr>
        <w:t>had spent about half-a-billion dollars on preliminary engineering and other work since 2012.</w:t>
      </w:r>
    </w:p>
    <w:p w:rsidR="00CC13F6" w:rsidRDefault="00CC13F6" w:rsidP="00FD1A2D">
      <w:pPr>
        <w:spacing w:after="0"/>
        <w:rPr>
          <w:rFonts w:asciiTheme="minorHAnsi" w:eastAsiaTheme="minorEastAsia" w:hAnsiTheme="minorHAnsi"/>
          <w:sz w:val="24"/>
          <w:szCs w:val="24"/>
        </w:rPr>
      </w:pPr>
    </w:p>
    <w:p w:rsidR="003014F0" w:rsidRDefault="003014F0" w:rsidP="00FD1A2D">
      <w:pPr>
        <w:spacing w:after="0"/>
        <w:rPr>
          <w:rFonts w:asciiTheme="minorHAnsi" w:eastAsiaTheme="minorEastAsia" w:hAnsiTheme="minorHAnsi"/>
          <w:sz w:val="24"/>
          <w:szCs w:val="24"/>
        </w:rPr>
      </w:pPr>
      <w:r>
        <w:rPr>
          <w:rFonts w:asciiTheme="minorHAnsi" w:eastAsiaTheme="minorEastAsia" w:hAnsiTheme="minorHAnsi"/>
          <w:sz w:val="24"/>
          <w:szCs w:val="24"/>
        </w:rPr>
        <w:t xml:space="preserve">AGDC is </w:t>
      </w:r>
      <w:r w:rsidR="005F399F">
        <w:rPr>
          <w:rFonts w:asciiTheme="minorHAnsi" w:eastAsiaTheme="minorEastAsia" w:hAnsiTheme="minorHAnsi"/>
          <w:sz w:val="24"/>
          <w:szCs w:val="24"/>
        </w:rPr>
        <w:t xml:space="preserve">trying to </w:t>
      </w:r>
      <w:r>
        <w:rPr>
          <w:rFonts w:asciiTheme="minorHAnsi" w:eastAsiaTheme="minorEastAsia" w:hAnsiTheme="minorHAnsi"/>
          <w:sz w:val="24"/>
          <w:szCs w:val="24"/>
        </w:rPr>
        <w:t xml:space="preserve">market the </w:t>
      </w:r>
      <w:r w:rsidR="00206847">
        <w:rPr>
          <w:rFonts w:asciiTheme="minorHAnsi" w:eastAsiaTheme="minorEastAsia" w:hAnsiTheme="minorHAnsi"/>
          <w:sz w:val="24"/>
          <w:szCs w:val="24"/>
        </w:rPr>
        <w:t>venture</w:t>
      </w:r>
      <w:r>
        <w:rPr>
          <w:rFonts w:asciiTheme="minorHAnsi" w:eastAsiaTheme="minorEastAsia" w:hAnsiTheme="minorHAnsi"/>
          <w:sz w:val="24"/>
          <w:szCs w:val="24"/>
        </w:rPr>
        <w:t xml:space="preserve"> and its LNG output to potential customers, partners and investors, particularly in Asia.</w:t>
      </w:r>
      <w:r w:rsidR="00500DE5">
        <w:rPr>
          <w:rFonts w:asciiTheme="minorHAnsi" w:eastAsiaTheme="minorEastAsia" w:hAnsiTheme="minorHAnsi"/>
          <w:sz w:val="24"/>
          <w:szCs w:val="24"/>
        </w:rPr>
        <w:t xml:space="preserve"> </w:t>
      </w:r>
      <w:r>
        <w:rPr>
          <w:rFonts w:asciiTheme="minorHAnsi" w:eastAsiaTheme="minorEastAsia" w:hAnsiTheme="minorHAnsi"/>
          <w:sz w:val="24"/>
          <w:szCs w:val="24"/>
        </w:rPr>
        <w:t xml:space="preserve"> The project includes a gas liquefaction plant and marine terminal in Nikiski, on Cook Inlet, about </w:t>
      </w:r>
      <w:r w:rsidR="0079122A">
        <w:rPr>
          <w:rFonts w:asciiTheme="minorHAnsi" w:eastAsiaTheme="minorEastAsia" w:hAnsiTheme="minorHAnsi"/>
          <w:sz w:val="24"/>
          <w:szCs w:val="24"/>
        </w:rPr>
        <w:t>65</w:t>
      </w:r>
      <w:r>
        <w:rPr>
          <w:rFonts w:asciiTheme="minorHAnsi" w:eastAsiaTheme="minorEastAsia" w:hAnsiTheme="minorHAnsi"/>
          <w:sz w:val="24"/>
          <w:szCs w:val="24"/>
        </w:rPr>
        <w:t xml:space="preserve"> air miles south</w:t>
      </w:r>
      <w:r w:rsidR="0079122A">
        <w:rPr>
          <w:rFonts w:asciiTheme="minorHAnsi" w:eastAsiaTheme="minorEastAsia" w:hAnsiTheme="minorHAnsi"/>
          <w:sz w:val="24"/>
          <w:szCs w:val="24"/>
        </w:rPr>
        <w:t>west</w:t>
      </w:r>
      <w:r>
        <w:rPr>
          <w:rFonts w:asciiTheme="minorHAnsi" w:eastAsiaTheme="minorEastAsia" w:hAnsiTheme="minorHAnsi"/>
          <w:sz w:val="24"/>
          <w:szCs w:val="24"/>
        </w:rPr>
        <w:t xml:space="preserve"> of Anchorage; </w:t>
      </w:r>
      <w:r w:rsidR="00BA17DA">
        <w:rPr>
          <w:rFonts w:asciiTheme="minorHAnsi" w:eastAsiaTheme="minorEastAsia" w:hAnsiTheme="minorHAnsi"/>
          <w:sz w:val="24"/>
          <w:szCs w:val="24"/>
        </w:rPr>
        <w:t>a</w:t>
      </w:r>
      <w:r>
        <w:rPr>
          <w:rFonts w:asciiTheme="minorHAnsi" w:eastAsiaTheme="minorEastAsia" w:hAnsiTheme="minorHAnsi"/>
          <w:sz w:val="24"/>
          <w:szCs w:val="24"/>
        </w:rPr>
        <w:t xml:space="preserve"> large-diameter, highly pressurized pipeline to move North Slope gas to Nikiski; a plant at Prudhoe Bay to remove carbon dioxide and other impurities from the gas stream; and a pipeline to deliver gas from the Point Thomson field </w:t>
      </w:r>
      <w:r w:rsidR="00BA17DA">
        <w:rPr>
          <w:rFonts w:asciiTheme="minorHAnsi" w:eastAsiaTheme="minorEastAsia" w:hAnsiTheme="minorHAnsi"/>
          <w:sz w:val="24"/>
          <w:szCs w:val="24"/>
        </w:rPr>
        <w:t xml:space="preserve">westward </w:t>
      </w:r>
      <w:r>
        <w:rPr>
          <w:rFonts w:asciiTheme="minorHAnsi" w:eastAsiaTheme="minorEastAsia" w:hAnsiTheme="minorHAnsi"/>
          <w:sz w:val="24"/>
          <w:szCs w:val="24"/>
        </w:rPr>
        <w:t xml:space="preserve">to join with Prudhoe Bay </w:t>
      </w:r>
      <w:r w:rsidR="00BA17DA">
        <w:rPr>
          <w:rFonts w:asciiTheme="minorHAnsi" w:eastAsiaTheme="minorEastAsia" w:hAnsiTheme="minorHAnsi"/>
          <w:sz w:val="24"/>
          <w:szCs w:val="24"/>
        </w:rPr>
        <w:t xml:space="preserve">gas </w:t>
      </w:r>
      <w:r>
        <w:rPr>
          <w:rFonts w:asciiTheme="minorHAnsi" w:eastAsiaTheme="minorEastAsia" w:hAnsiTheme="minorHAnsi"/>
          <w:sz w:val="24"/>
          <w:szCs w:val="24"/>
        </w:rPr>
        <w:t>production.</w:t>
      </w:r>
    </w:p>
    <w:p w:rsidR="003014F0" w:rsidRDefault="003014F0" w:rsidP="00FD1A2D">
      <w:pPr>
        <w:spacing w:after="0"/>
        <w:rPr>
          <w:rFonts w:asciiTheme="minorHAnsi" w:eastAsiaTheme="minorEastAsia" w:hAnsiTheme="minorHAnsi"/>
          <w:sz w:val="24"/>
          <w:szCs w:val="24"/>
        </w:rPr>
      </w:pPr>
    </w:p>
    <w:p w:rsidR="00BA17DA" w:rsidRDefault="000F5599" w:rsidP="00FD1A2D">
      <w:pPr>
        <w:spacing w:after="0"/>
        <w:rPr>
          <w:rFonts w:asciiTheme="minorHAnsi" w:eastAsiaTheme="minorEastAsia" w:hAnsiTheme="minorHAnsi"/>
          <w:sz w:val="24"/>
          <w:szCs w:val="24"/>
        </w:rPr>
      </w:pPr>
      <w:r>
        <w:rPr>
          <w:rFonts w:asciiTheme="minorHAnsi" w:eastAsiaTheme="minorEastAsia" w:hAnsiTheme="minorHAnsi"/>
          <w:sz w:val="24"/>
          <w:szCs w:val="24"/>
        </w:rPr>
        <w:t xml:space="preserve">Assuming the state can lock in long-term customers and financing — and obtain FERC approval along with other required permits and authorizations — </w:t>
      </w:r>
      <w:r w:rsidR="00BA17DA">
        <w:rPr>
          <w:rFonts w:asciiTheme="minorHAnsi" w:eastAsiaTheme="minorEastAsia" w:hAnsiTheme="minorHAnsi"/>
          <w:sz w:val="24"/>
          <w:szCs w:val="24"/>
        </w:rPr>
        <w:t>AGDC hopes to start construction in 2019, with first LNG by 2023.</w:t>
      </w:r>
    </w:p>
    <w:p w:rsidR="00BA17DA" w:rsidRDefault="00BA17DA" w:rsidP="00FD1A2D">
      <w:pPr>
        <w:spacing w:after="0"/>
        <w:rPr>
          <w:rFonts w:asciiTheme="minorHAnsi" w:eastAsiaTheme="minorEastAsia" w:hAnsiTheme="minorHAnsi"/>
          <w:sz w:val="24"/>
          <w:szCs w:val="24"/>
        </w:rPr>
      </w:pPr>
    </w:p>
    <w:p w:rsidR="00206847" w:rsidRPr="00206847" w:rsidRDefault="00206847" w:rsidP="00FD1A2D">
      <w:pPr>
        <w:spacing w:after="0"/>
        <w:rPr>
          <w:rFonts w:asciiTheme="minorHAnsi" w:eastAsiaTheme="minorEastAsia" w:hAnsiTheme="minorHAnsi"/>
          <w:b/>
          <w:sz w:val="24"/>
          <w:szCs w:val="24"/>
        </w:rPr>
      </w:pPr>
      <w:r w:rsidRPr="00206847">
        <w:rPr>
          <w:rFonts w:asciiTheme="minorHAnsi" w:eastAsiaTheme="minorEastAsia" w:hAnsiTheme="minorHAnsi"/>
          <w:b/>
          <w:sz w:val="24"/>
          <w:szCs w:val="24"/>
        </w:rPr>
        <w:t>BUYERS CONTINUE PUSHING ON PRICE</w:t>
      </w:r>
    </w:p>
    <w:p w:rsidR="00206847" w:rsidRDefault="00206847" w:rsidP="00FD1A2D">
      <w:pPr>
        <w:spacing w:after="0"/>
        <w:rPr>
          <w:rFonts w:asciiTheme="minorHAnsi" w:eastAsiaTheme="minorEastAsia" w:hAnsiTheme="minorHAnsi"/>
          <w:sz w:val="24"/>
          <w:szCs w:val="24"/>
        </w:rPr>
      </w:pPr>
    </w:p>
    <w:p w:rsidR="00C954D0" w:rsidRDefault="00BA17DA" w:rsidP="00FD1A2D">
      <w:pPr>
        <w:spacing w:after="0"/>
        <w:rPr>
          <w:rFonts w:asciiTheme="minorHAnsi" w:eastAsiaTheme="minorEastAsia" w:hAnsiTheme="minorHAnsi"/>
          <w:sz w:val="24"/>
          <w:szCs w:val="24"/>
        </w:rPr>
      </w:pPr>
      <w:r>
        <w:rPr>
          <w:rFonts w:asciiTheme="minorHAnsi" w:eastAsiaTheme="minorEastAsia" w:hAnsiTheme="minorHAnsi"/>
          <w:sz w:val="24"/>
          <w:szCs w:val="24"/>
        </w:rPr>
        <w:t>Currently, t</w:t>
      </w:r>
      <w:r w:rsidR="00C954D0">
        <w:rPr>
          <w:rFonts w:asciiTheme="minorHAnsi" w:eastAsiaTheme="minorEastAsia" w:hAnsiTheme="minorHAnsi"/>
          <w:sz w:val="24"/>
          <w:szCs w:val="24"/>
        </w:rPr>
        <w:t>he g</w:t>
      </w:r>
      <w:r w:rsidR="005F399F">
        <w:rPr>
          <w:rFonts w:asciiTheme="minorHAnsi" w:eastAsiaTheme="minorEastAsia" w:hAnsiTheme="minorHAnsi"/>
          <w:sz w:val="24"/>
          <w:szCs w:val="24"/>
        </w:rPr>
        <w:t xml:space="preserve">lobal market </w:t>
      </w:r>
      <w:r w:rsidR="00C954D0">
        <w:rPr>
          <w:rFonts w:asciiTheme="minorHAnsi" w:eastAsiaTheme="minorEastAsia" w:hAnsiTheme="minorHAnsi"/>
          <w:sz w:val="24"/>
          <w:szCs w:val="24"/>
        </w:rPr>
        <w:t>for LNG</w:t>
      </w:r>
      <w:r w:rsidR="005F399F">
        <w:rPr>
          <w:rFonts w:asciiTheme="minorHAnsi" w:eastAsiaTheme="minorEastAsia" w:hAnsiTheme="minorHAnsi"/>
          <w:sz w:val="24"/>
          <w:szCs w:val="24"/>
        </w:rPr>
        <w:t xml:space="preserve"> </w:t>
      </w:r>
      <w:r w:rsidR="00C954D0">
        <w:rPr>
          <w:rFonts w:asciiTheme="minorHAnsi" w:eastAsiaTheme="minorEastAsia" w:hAnsiTheme="minorHAnsi"/>
          <w:sz w:val="24"/>
          <w:szCs w:val="24"/>
        </w:rPr>
        <w:t xml:space="preserve">is oversupplied and prices are low, with most analysts predicting those conditions to continue until at least the early 2020s when increased demand from emerging economies and a lack of new export projects could turn around conditions for </w:t>
      </w:r>
      <w:r w:rsidR="006F7866">
        <w:rPr>
          <w:rFonts w:asciiTheme="minorHAnsi" w:eastAsiaTheme="minorEastAsia" w:hAnsiTheme="minorHAnsi"/>
          <w:sz w:val="24"/>
          <w:szCs w:val="24"/>
        </w:rPr>
        <w:t>a couple</w:t>
      </w:r>
      <w:r w:rsidR="00C954D0">
        <w:rPr>
          <w:rFonts w:asciiTheme="minorHAnsi" w:eastAsiaTheme="minorEastAsia" w:hAnsiTheme="minorHAnsi"/>
          <w:sz w:val="24"/>
          <w:szCs w:val="24"/>
        </w:rPr>
        <w:t xml:space="preserve"> dozen LNG prospects worldwide waiting for a chance to sign up </w:t>
      </w:r>
      <w:r w:rsidR="006F7866">
        <w:rPr>
          <w:rFonts w:asciiTheme="minorHAnsi" w:eastAsiaTheme="minorEastAsia" w:hAnsiTheme="minorHAnsi"/>
          <w:sz w:val="24"/>
          <w:szCs w:val="24"/>
        </w:rPr>
        <w:t>customers</w:t>
      </w:r>
      <w:r w:rsidR="00C954D0">
        <w:rPr>
          <w:rFonts w:asciiTheme="minorHAnsi" w:eastAsiaTheme="minorEastAsia" w:hAnsiTheme="minorHAnsi"/>
          <w:sz w:val="24"/>
          <w:szCs w:val="24"/>
        </w:rPr>
        <w:t>.</w:t>
      </w:r>
    </w:p>
    <w:p w:rsidR="00C954D0" w:rsidRDefault="00C954D0" w:rsidP="00FD1A2D">
      <w:pPr>
        <w:spacing w:after="0"/>
        <w:rPr>
          <w:rFonts w:asciiTheme="minorHAnsi" w:eastAsiaTheme="minorEastAsia" w:hAnsiTheme="minorHAnsi"/>
          <w:sz w:val="24"/>
          <w:szCs w:val="24"/>
        </w:rPr>
      </w:pPr>
    </w:p>
    <w:p w:rsidR="00D74E5B" w:rsidRPr="00D74E5B" w:rsidRDefault="00D74E5B" w:rsidP="00C954D0">
      <w:pPr>
        <w:spacing w:after="0"/>
        <w:rPr>
          <w:rFonts w:asciiTheme="minorHAnsi" w:eastAsia="Times New Roman" w:hAnsiTheme="minorHAnsi" w:cstheme="minorHAnsi"/>
          <w:sz w:val="24"/>
          <w:szCs w:val="24"/>
        </w:rPr>
      </w:pPr>
      <w:r w:rsidRPr="00D74E5B">
        <w:rPr>
          <w:rFonts w:asciiTheme="minorHAnsi" w:eastAsiaTheme="minorEastAsia" w:hAnsiTheme="minorHAnsi" w:cstheme="minorHAnsi"/>
          <w:sz w:val="24"/>
          <w:szCs w:val="24"/>
        </w:rPr>
        <w:t xml:space="preserve">Meanwhile, LNG buyers are negotiating for lower prices longer term. </w:t>
      </w:r>
      <w:r w:rsidR="00F533AF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="00A33FA5">
        <w:rPr>
          <w:rFonts w:asciiTheme="minorHAnsi" w:eastAsiaTheme="minorEastAsia" w:hAnsiTheme="minorHAnsi" w:cstheme="minorHAnsi"/>
          <w:sz w:val="24"/>
          <w:szCs w:val="24"/>
        </w:rPr>
        <w:t xml:space="preserve">For example, </w:t>
      </w:r>
      <w:r w:rsidRPr="00D74E5B">
        <w:rPr>
          <w:rFonts w:asciiTheme="minorHAnsi" w:eastAsiaTheme="minorEastAsia" w:hAnsiTheme="minorHAnsi" w:cstheme="minorHAnsi"/>
          <w:sz w:val="24"/>
          <w:szCs w:val="24"/>
        </w:rPr>
        <w:t xml:space="preserve">GAIL (India), the country’s largest gas distributor, is seeking to renegotiate the pricing on 20-year contracts it signed with U.S. export projects totaling 5.8 million </w:t>
      </w:r>
      <w:proofErr w:type="spellStart"/>
      <w:r w:rsidRPr="00D74E5B">
        <w:rPr>
          <w:rFonts w:asciiTheme="minorHAnsi" w:eastAsiaTheme="minorEastAsia" w:hAnsiTheme="minorHAnsi" w:cstheme="minorHAnsi"/>
          <w:sz w:val="24"/>
          <w:szCs w:val="24"/>
        </w:rPr>
        <w:t>tonnes</w:t>
      </w:r>
      <w:proofErr w:type="spellEnd"/>
      <w:r w:rsidRPr="00D74E5B">
        <w:rPr>
          <w:rFonts w:asciiTheme="minorHAnsi" w:eastAsiaTheme="minorEastAsia" w:hAnsiTheme="minorHAnsi" w:cstheme="minorHAnsi"/>
          <w:sz w:val="24"/>
          <w:szCs w:val="24"/>
        </w:rPr>
        <w:t xml:space="preserve"> per year.</w:t>
      </w:r>
      <w:r w:rsidR="00500DE5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Pr="00D74E5B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="00C954D0" w:rsidRPr="00D74E5B">
        <w:rPr>
          <w:rFonts w:asciiTheme="minorHAnsi" w:eastAsia="Times New Roman" w:hAnsiTheme="minorHAnsi" w:cstheme="minorHAnsi"/>
          <w:sz w:val="24"/>
          <w:szCs w:val="24"/>
        </w:rPr>
        <w:t>"We need to be in sync with the market</w:t>
      </w:r>
      <w:r w:rsidR="00206847">
        <w:rPr>
          <w:rFonts w:asciiTheme="minorHAnsi" w:eastAsia="Times New Roman" w:hAnsiTheme="minorHAnsi" w:cstheme="minorHAnsi"/>
          <w:sz w:val="24"/>
          <w:szCs w:val="24"/>
        </w:rPr>
        <w:t xml:space="preserve">. … </w:t>
      </w:r>
      <w:r w:rsidR="00C954D0" w:rsidRPr="00D74E5B">
        <w:rPr>
          <w:rFonts w:asciiTheme="minorHAnsi" w:eastAsia="Times New Roman" w:hAnsiTheme="minorHAnsi" w:cstheme="minorHAnsi"/>
          <w:sz w:val="24"/>
          <w:szCs w:val="24"/>
        </w:rPr>
        <w:t>So, if market dynamics ha</w:t>
      </w:r>
      <w:r w:rsidR="000F5599">
        <w:rPr>
          <w:rFonts w:asciiTheme="minorHAnsi" w:eastAsia="Times New Roman" w:hAnsiTheme="minorHAnsi" w:cstheme="minorHAnsi"/>
          <w:sz w:val="24"/>
          <w:szCs w:val="24"/>
        </w:rPr>
        <w:t>ve</w:t>
      </w:r>
      <w:r w:rsidR="00C954D0" w:rsidRPr="00D74E5B">
        <w:rPr>
          <w:rFonts w:asciiTheme="minorHAnsi" w:eastAsia="Times New Roman" w:hAnsiTheme="minorHAnsi" w:cstheme="minorHAnsi"/>
          <w:sz w:val="24"/>
          <w:szCs w:val="24"/>
        </w:rPr>
        <w:t xml:space="preserve"> changed and there is a glut of gas the world over with falling rates, the same should also reflect in our prices," a source </w:t>
      </w:r>
      <w:r w:rsidRPr="00D74E5B">
        <w:rPr>
          <w:rFonts w:asciiTheme="minorHAnsi" w:eastAsia="Times New Roman" w:hAnsiTheme="minorHAnsi" w:cstheme="minorHAnsi"/>
          <w:sz w:val="24"/>
          <w:szCs w:val="24"/>
        </w:rPr>
        <w:t>was quoted in Indian news media reports Aug. 7.</w:t>
      </w:r>
    </w:p>
    <w:p w:rsidR="00D74E5B" w:rsidRPr="00D74E5B" w:rsidRDefault="00D74E5B" w:rsidP="00C954D0">
      <w:pPr>
        <w:spacing w:after="0"/>
        <w:rPr>
          <w:rFonts w:asciiTheme="minorHAnsi" w:eastAsia="Times New Roman" w:hAnsiTheme="minorHAnsi" w:cstheme="minorHAnsi"/>
          <w:sz w:val="24"/>
          <w:szCs w:val="24"/>
        </w:rPr>
      </w:pPr>
    </w:p>
    <w:p w:rsidR="00D74E5B" w:rsidRDefault="006F7866" w:rsidP="00D74E5B">
      <w:pPr>
        <w:spacing w:after="0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GAIL’s</w:t>
      </w:r>
      <w:r w:rsidR="00D74E5B" w:rsidRPr="00D74E5B">
        <w:rPr>
          <w:rFonts w:asciiTheme="minorHAnsi" w:eastAsia="Times New Roman" w:hAnsiTheme="minorHAnsi" w:cstheme="minorHAnsi"/>
          <w:sz w:val="24"/>
          <w:szCs w:val="24"/>
        </w:rPr>
        <w:t xml:space="preserve"> contract terms, </w:t>
      </w:r>
      <w:r w:rsidR="00206847">
        <w:rPr>
          <w:rFonts w:asciiTheme="minorHAnsi" w:eastAsia="Times New Roman" w:hAnsiTheme="minorHAnsi" w:cstheme="minorHAnsi"/>
          <w:sz w:val="24"/>
          <w:szCs w:val="24"/>
        </w:rPr>
        <w:t>covering liquefaction and</w:t>
      </w:r>
      <w:r w:rsidR="00D74E5B" w:rsidRPr="00D74E5B">
        <w:rPr>
          <w:rFonts w:asciiTheme="minorHAnsi" w:eastAsia="Times New Roman" w:hAnsiTheme="minorHAnsi" w:cstheme="minorHAnsi"/>
          <w:sz w:val="24"/>
          <w:szCs w:val="24"/>
        </w:rPr>
        <w:t xml:space="preserve"> shipping, bring the landed price in India to about $9 per million Btu at current U.S. natural gas prices of just under $3. </w:t>
      </w:r>
      <w:r w:rsidR="00500DE5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D74E5B" w:rsidRPr="00D74E5B">
        <w:rPr>
          <w:rFonts w:asciiTheme="minorHAnsi" w:eastAsia="Times New Roman" w:hAnsiTheme="minorHAnsi" w:cstheme="minorHAnsi"/>
          <w:sz w:val="24"/>
          <w:szCs w:val="24"/>
        </w:rPr>
        <w:t xml:space="preserve">GAIL wants to bring down </w:t>
      </w:r>
      <w:r w:rsidR="00D74E5B">
        <w:rPr>
          <w:rFonts w:asciiTheme="minorHAnsi" w:eastAsia="Times New Roman" w:hAnsiTheme="minorHAnsi" w:cstheme="minorHAnsi"/>
          <w:sz w:val="24"/>
          <w:szCs w:val="24"/>
        </w:rPr>
        <w:t xml:space="preserve">the </w:t>
      </w:r>
      <w:r w:rsidR="00D74E5B" w:rsidRPr="00D74E5B">
        <w:rPr>
          <w:rFonts w:asciiTheme="minorHAnsi" w:eastAsia="Times New Roman" w:hAnsiTheme="minorHAnsi" w:cstheme="minorHAnsi"/>
          <w:sz w:val="24"/>
          <w:szCs w:val="24"/>
        </w:rPr>
        <w:t xml:space="preserve">landed cost of LNG to </w:t>
      </w:r>
      <w:r w:rsidR="00D74E5B">
        <w:rPr>
          <w:rFonts w:asciiTheme="minorHAnsi" w:eastAsia="Times New Roman" w:hAnsiTheme="minorHAnsi" w:cstheme="minorHAnsi"/>
          <w:sz w:val="24"/>
          <w:szCs w:val="24"/>
        </w:rPr>
        <w:t>about</w:t>
      </w:r>
      <w:r w:rsidR="00D74E5B" w:rsidRPr="00D74E5B">
        <w:rPr>
          <w:rFonts w:asciiTheme="minorHAnsi" w:eastAsia="Times New Roman" w:hAnsiTheme="minorHAnsi" w:cstheme="minorHAnsi"/>
          <w:sz w:val="24"/>
          <w:szCs w:val="24"/>
        </w:rPr>
        <w:t xml:space="preserve"> $7 to $8</w:t>
      </w:r>
      <w:r w:rsidR="00D74E5B">
        <w:rPr>
          <w:rFonts w:asciiTheme="minorHAnsi" w:eastAsia="Times New Roman" w:hAnsiTheme="minorHAnsi" w:cstheme="minorHAnsi"/>
          <w:sz w:val="24"/>
          <w:szCs w:val="24"/>
        </w:rPr>
        <w:t>, according to the news reports.</w:t>
      </w:r>
      <w:r w:rsidR="00BA17D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500DE5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BA17DA">
        <w:rPr>
          <w:rFonts w:asciiTheme="minorHAnsi" w:eastAsia="Times New Roman" w:hAnsiTheme="minorHAnsi" w:cstheme="minorHAnsi"/>
          <w:sz w:val="24"/>
          <w:szCs w:val="24"/>
        </w:rPr>
        <w:t>The utility holds contracts to take LNG from U.S. Gulf a</w:t>
      </w:r>
      <w:r w:rsidR="00206847">
        <w:rPr>
          <w:rFonts w:asciiTheme="minorHAnsi" w:eastAsia="Times New Roman" w:hAnsiTheme="minorHAnsi" w:cstheme="minorHAnsi"/>
          <w:sz w:val="24"/>
          <w:szCs w:val="24"/>
        </w:rPr>
        <w:t>nd East C</w:t>
      </w:r>
      <w:r w:rsidR="00BA17DA">
        <w:rPr>
          <w:rFonts w:asciiTheme="minorHAnsi" w:eastAsia="Times New Roman" w:hAnsiTheme="minorHAnsi" w:cstheme="minorHAnsi"/>
          <w:sz w:val="24"/>
          <w:szCs w:val="24"/>
        </w:rPr>
        <w:t>oast export terminals.</w:t>
      </w:r>
    </w:p>
    <w:p w:rsidR="00D74E5B" w:rsidRDefault="00D74E5B" w:rsidP="00D74E5B">
      <w:pPr>
        <w:spacing w:after="0"/>
        <w:rPr>
          <w:rFonts w:asciiTheme="minorHAnsi" w:eastAsia="Times New Roman" w:hAnsiTheme="minorHAnsi" w:cstheme="minorHAnsi"/>
          <w:sz w:val="24"/>
          <w:szCs w:val="24"/>
        </w:rPr>
      </w:pPr>
    </w:p>
    <w:p w:rsidR="00D74E5B" w:rsidRDefault="00A13325" w:rsidP="00D74E5B">
      <w:pPr>
        <w:spacing w:after="0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While waiting on </w:t>
      </w:r>
      <w:r w:rsidR="000F5599">
        <w:rPr>
          <w:rFonts w:asciiTheme="minorHAnsi" w:eastAsia="Times New Roman" w:hAnsiTheme="minorHAnsi" w:cstheme="minorHAnsi"/>
          <w:sz w:val="24"/>
          <w:szCs w:val="24"/>
        </w:rPr>
        <w:t>results of</w:t>
      </w:r>
      <w:r w:rsidR="009613E0">
        <w:rPr>
          <w:rFonts w:asciiTheme="minorHAnsi" w:eastAsia="Times New Roman" w:hAnsiTheme="minorHAnsi" w:cstheme="minorHAnsi"/>
          <w:sz w:val="24"/>
          <w:szCs w:val="24"/>
        </w:rPr>
        <w:t xml:space="preserve"> its marketing efforts, AGDC will continue working to supply federal regulators with the requested information for </w:t>
      </w:r>
      <w:r w:rsidR="00206847">
        <w:rPr>
          <w:rFonts w:asciiTheme="minorHAnsi" w:eastAsia="Times New Roman" w:hAnsiTheme="minorHAnsi" w:cstheme="minorHAnsi"/>
          <w:sz w:val="24"/>
          <w:szCs w:val="24"/>
        </w:rPr>
        <w:t>the</w:t>
      </w:r>
      <w:r w:rsidR="009613E0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6F7866">
        <w:rPr>
          <w:rFonts w:asciiTheme="minorHAnsi" w:eastAsia="Times New Roman" w:hAnsiTheme="minorHAnsi" w:cstheme="minorHAnsi"/>
          <w:sz w:val="24"/>
          <w:szCs w:val="24"/>
        </w:rPr>
        <w:t xml:space="preserve">project’s </w:t>
      </w:r>
      <w:r w:rsidR="009613E0">
        <w:rPr>
          <w:rFonts w:asciiTheme="minorHAnsi" w:eastAsia="Times New Roman" w:hAnsiTheme="minorHAnsi" w:cstheme="minorHAnsi"/>
          <w:sz w:val="24"/>
          <w:szCs w:val="24"/>
        </w:rPr>
        <w:t>environmental impact statement.</w:t>
      </w:r>
      <w:r w:rsidR="00500DE5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9613E0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A67A16">
        <w:rPr>
          <w:rFonts w:asciiTheme="minorHAnsi" w:eastAsia="Times New Roman" w:hAnsiTheme="minorHAnsi" w:cstheme="minorHAnsi"/>
          <w:sz w:val="24"/>
          <w:szCs w:val="24"/>
        </w:rPr>
        <w:t xml:space="preserve">In addition to data already submitted, </w:t>
      </w:r>
      <w:hyperlink r:id="rId12" w:history="1">
        <w:r w:rsidR="00A67A16" w:rsidRPr="00637E0C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>t</w:t>
        </w:r>
        <w:r w:rsidR="009613E0" w:rsidRPr="00637E0C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>he corporation</w:t>
        </w:r>
        <w:r w:rsidR="000F5599" w:rsidRPr="00637E0C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 xml:space="preserve"> </w:t>
        </w:r>
        <w:r w:rsidR="00CF5151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>on July 25</w:t>
        </w:r>
        <w:r w:rsidR="000F5599" w:rsidRPr="00637E0C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 xml:space="preserve"> provided F</w:t>
        </w:r>
        <w:r w:rsidR="009613E0" w:rsidRPr="00637E0C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 xml:space="preserve">ERC </w:t>
        </w:r>
        <w:r w:rsidR="000F5599" w:rsidRPr="00637E0C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 xml:space="preserve">with a </w:t>
        </w:r>
        <w:r w:rsidR="009613E0" w:rsidRPr="00637E0C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>timeline for additional data</w:t>
        </w:r>
        <w:r w:rsidR="00A67A16" w:rsidRPr="00637E0C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 xml:space="preserve"> in 2017</w:t>
        </w:r>
      </w:hyperlink>
      <w:r w:rsidR="009613E0">
        <w:rPr>
          <w:rFonts w:asciiTheme="minorHAnsi" w:eastAsia="Times New Roman" w:hAnsiTheme="minorHAnsi" w:cstheme="minorHAnsi"/>
          <w:sz w:val="24"/>
          <w:szCs w:val="24"/>
        </w:rPr>
        <w:t>, including:</w:t>
      </w:r>
    </w:p>
    <w:p w:rsidR="00A67A16" w:rsidRPr="00B133CD" w:rsidRDefault="00A67A16" w:rsidP="00B133CD">
      <w:pPr>
        <w:pStyle w:val="ListParagraph"/>
        <w:numPr>
          <w:ilvl w:val="0"/>
          <w:numId w:val="2"/>
        </w:numPr>
        <w:spacing w:before="160" w:after="0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B133CD">
        <w:rPr>
          <w:rFonts w:asciiTheme="minorHAnsi" w:eastAsia="Times New Roman" w:hAnsiTheme="minorHAnsi" w:cstheme="minorHAnsi"/>
          <w:sz w:val="24"/>
          <w:szCs w:val="24"/>
        </w:rPr>
        <w:lastRenderedPageBreak/>
        <w:t xml:space="preserve">More </w:t>
      </w:r>
      <w:r w:rsidR="00206847">
        <w:rPr>
          <w:rFonts w:asciiTheme="minorHAnsi" w:eastAsia="Times New Roman" w:hAnsiTheme="minorHAnsi" w:cstheme="minorHAnsi"/>
          <w:sz w:val="24"/>
          <w:szCs w:val="24"/>
        </w:rPr>
        <w:t>details</w:t>
      </w:r>
      <w:r w:rsidRPr="00B133CD">
        <w:rPr>
          <w:rFonts w:asciiTheme="minorHAnsi" w:eastAsia="Times New Roman" w:hAnsiTheme="minorHAnsi" w:cstheme="minorHAnsi"/>
          <w:sz w:val="24"/>
          <w:szCs w:val="24"/>
        </w:rPr>
        <w:t xml:space="preserve"> on </w:t>
      </w:r>
      <w:r w:rsidR="006F7866">
        <w:rPr>
          <w:rFonts w:asciiTheme="minorHAnsi" w:eastAsia="Times New Roman" w:hAnsiTheme="minorHAnsi" w:cstheme="minorHAnsi"/>
          <w:sz w:val="24"/>
          <w:szCs w:val="24"/>
        </w:rPr>
        <w:t xml:space="preserve">specific </w:t>
      </w:r>
      <w:r w:rsidR="00BA17DA">
        <w:rPr>
          <w:rFonts w:asciiTheme="minorHAnsi" w:eastAsia="Times New Roman" w:hAnsiTheme="minorHAnsi" w:cstheme="minorHAnsi"/>
          <w:sz w:val="24"/>
          <w:szCs w:val="24"/>
        </w:rPr>
        <w:t xml:space="preserve">work </w:t>
      </w:r>
      <w:r w:rsidRPr="00B133CD">
        <w:rPr>
          <w:rFonts w:asciiTheme="minorHAnsi" w:eastAsia="Times New Roman" w:hAnsiTheme="minorHAnsi" w:cstheme="minorHAnsi"/>
          <w:sz w:val="24"/>
          <w:szCs w:val="24"/>
        </w:rPr>
        <w:t>sites for support services, such as pipe-coating yards and fuel storage yards: September.</w:t>
      </w:r>
    </w:p>
    <w:p w:rsidR="00A67A16" w:rsidRPr="00B133CD" w:rsidRDefault="00A67A16" w:rsidP="00B133CD">
      <w:pPr>
        <w:pStyle w:val="ListParagraph"/>
        <w:numPr>
          <w:ilvl w:val="0"/>
          <w:numId w:val="2"/>
        </w:numPr>
        <w:spacing w:before="160" w:after="0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B133CD">
        <w:rPr>
          <w:rFonts w:asciiTheme="minorHAnsi" w:eastAsia="Times New Roman" w:hAnsiTheme="minorHAnsi" w:cstheme="minorHAnsi"/>
          <w:sz w:val="24"/>
          <w:szCs w:val="24"/>
        </w:rPr>
        <w:t xml:space="preserve">A </w:t>
      </w:r>
      <w:r w:rsidR="006F7866">
        <w:rPr>
          <w:rFonts w:asciiTheme="minorHAnsi" w:eastAsia="Times New Roman" w:hAnsiTheme="minorHAnsi" w:cstheme="minorHAnsi"/>
          <w:sz w:val="24"/>
          <w:szCs w:val="24"/>
        </w:rPr>
        <w:t>listing</w:t>
      </w:r>
      <w:r w:rsidRPr="00B133CD">
        <w:rPr>
          <w:rFonts w:asciiTheme="minorHAnsi" w:eastAsia="Times New Roman" w:hAnsiTheme="minorHAnsi" w:cstheme="minorHAnsi"/>
          <w:sz w:val="24"/>
          <w:szCs w:val="24"/>
        </w:rPr>
        <w:t xml:space="preserve"> of temporary bridges that would be built over waterbodies for </w:t>
      </w:r>
      <w:r w:rsidR="006F7866">
        <w:rPr>
          <w:rFonts w:asciiTheme="minorHAnsi" w:eastAsia="Times New Roman" w:hAnsiTheme="minorHAnsi" w:cstheme="minorHAnsi"/>
          <w:sz w:val="24"/>
          <w:szCs w:val="24"/>
        </w:rPr>
        <w:t>use during</w:t>
      </w:r>
      <w:r w:rsidRPr="00B133CD">
        <w:rPr>
          <w:rFonts w:asciiTheme="minorHAnsi" w:eastAsia="Times New Roman" w:hAnsiTheme="minorHAnsi" w:cstheme="minorHAnsi"/>
          <w:sz w:val="24"/>
          <w:szCs w:val="24"/>
        </w:rPr>
        <w:t xml:space="preserve"> construction: October.</w:t>
      </w:r>
    </w:p>
    <w:p w:rsidR="00A67A16" w:rsidRPr="00B133CD" w:rsidRDefault="00A67A16" w:rsidP="00B133CD">
      <w:pPr>
        <w:pStyle w:val="ListParagraph"/>
        <w:numPr>
          <w:ilvl w:val="0"/>
          <w:numId w:val="2"/>
        </w:numPr>
        <w:spacing w:before="160" w:after="0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B133CD">
        <w:rPr>
          <w:rFonts w:asciiTheme="minorHAnsi" w:eastAsia="Times New Roman" w:hAnsiTheme="minorHAnsi" w:cstheme="minorHAnsi"/>
          <w:sz w:val="24"/>
          <w:szCs w:val="24"/>
        </w:rPr>
        <w:t xml:space="preserve">Vessel traffic management plans </w:t>
      </w:r>
      <w:r w:rsidR="00BA17DA">
        <w:rPr>
          <w:rFonts w:asciiTheme="minorHAnsi" w:eastAsia="Times New Roman" w:hAnsiTheme="minorHAnsi" w:cstheme="minorHAnsi"/>
          <w:sz w:val="24"/>
          <w:szCs w:val="24"/>
        </w:rPr>
        <w:t>during</w:t>
      </w:r>
      <w:r w:rsidRPr="00B133CD">
        <w:rPr>
          <w:rFonts w:asciiTheme="minorHAnsi" w:eastAsia="Times New Roman" w:hAnsiTheme="minorHAnsi" w:cstheme="minorHAnsi"/>
          <w:sz w:val="24"/>
          <w:szCs w:val="24"/>
        </w:rPr>
        <w:t xml:space="preserve"> construction and operations at the Prudhoe Bay dock and in Cook Inlet: November.</w:t>
      </w:r>
    </w:p>
    <w:p w:rsidR="00A67A16" w:rsidRPr="00B133CD" w:rsidRDefault="00A67A16" w:rsidP="00B133CD">
      <w:pPr>
        <w:pStyle w:val="ListParagraph"/>
        <w:numPr>
          <w:ilvl w:val="0"/>
          <w:numId w:val="2"/>
        </w:numPr>
        <w:spacing w:before="160" w:after="0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B133CD">
        <w:rPr>
          <w:rFonts w:asciiTheme="minorHAnsi" w:eastAsia="Times New Roman" w:hAnsiTheme="minorHAnsi" w:cstheme="minorHAnsi"/>
          <w:sz w:val="24"/>
          <w:szCs w:val="24"/>
        </w:rPr>
        <w:t xml:space="preserve">More information on construction plans for pipeline </w:t>
      </w:r>
      <w:r w:rsidR="00BA17DA">
        <w:rPr>
          <w:rFonts w:asciiTheme="minorHAnsi" w:eastAsia="Times New Roman" w:hAnsiTheme="minorHAnsi" w:cstheme="minorHAnsi"/>
          <w:sz w:val="24"/>
          <w:szCs w:val="24"/>
        </w:rPr>
        <w:t>laying</w:t>
      </w:r>
      <w:r w:rsidRPr="00B133CD">
        <w:rPr>
          <w:rFonts w:asciiTheme="minorHAnsi" w:eastAsia="Times New Roman" w:hAnsiTheme="minorHAnsi" w:cstheme="minorHAnsi"/>
          <w:sz w:val="24"/>
          <w:szCs w:val="24"/>
        </w:rPr>
        <w:t xml:space="preserve"> at both waterfront ends of the 29-mile Cook Inlet crossing into Nikiski: November.</w:t>
      </w:r>
    </w:p>
    <w:p w:rsidR="00A67A16" w:rsidRPr="00B133CD" w:rsidRDefault="00A67A16" w:rsidP="00B133CD">
      <w:pPr>
        <w:pStyle w:val="ListParagraph"/>
        <w:numPr>
          <w:ilvl w:val="0"/>
          <w:numId w:val="2"/>
        </w:numPr>
        <w:spacing w:before="160" w:after="0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B133CD">
        <w:rPr>
          <w:rFonts w:asciiTheme="minorHAnsi" w:eastAsia="Times New Roman" w:hAnsiTheme="minorHAnsi" w:cstheme="minorHAnsi"/>
          <w:sz w:val="24"/>
          <w:szCs w:val="24"/>
        </w:rPr>
        <w:t>Soil monitoring plans for areas of permafrost and discontinuous permafrost: November.</w:t>
      </w:r>
    </w:p>
    <w:p w:rsidR="009613E0" w:rsidRPr="00B133CD" w:rsidRDefault="009613E0" w:rsidP="00B133CD">
      <w:pPr>
        <w:pStyle w:val="ListParagraph"/>
        <w:numPr>
          <w:ilvl w:val="0"/>
          <w:numId w:val="2"/>
        </w:numPr>
        <w:spacing w:before="160" w:after="0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B133CD">
        <w:rPr>
          <w:rFonts w:asciiTheme="minorHAnsi" w:eastAsia="Times New Roman" w:hAnsiTheme="minorHAnsi" w:cstheme="minorHAnsi"/>
          <w:sz w:val="24"/>
          <w:szCs w:val="24"/>
        </w:rPr>
        <w:t>Location, land requirements and environmental impacts of the proposed Kenai Spur Highway relocation to accommodate the LNG plant and marine terminal: December.</w:t>
      </w:r>
    </w:p>
    <w:p w:rsidR="00D3090B" w:rsidRPr="00B133CD" w:rsidRDefault="00BA17DA" w:rsidP="00B133CD">
      <w:pPr>
        <w:pStyle w:val="ListParagraph"/>
        <w:numPr>
          <w:ilvl w:val="0"/>
          <w:numId w:val="2"/>
        </w:numPr>
        <w:spacing w:before="160" w:after="0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D</w:t>
      </w:r>
      <w:r w:rsidR="00206847">
        <w:rPr>
          <w:rFonts w:asciiTheme="minorHAnsi" w:eastAsia="Times New Roman" w:hAnsiTheme="minorHAnsi" w:cstheme="minorHAnsi"/>
          <w:sz w:val="24"/>
          <w:szCs w:val="24"/>
        </w:rPr>
        <w:t xml:space="preserve">escription of </w:t>
      </w:r>
      <w:r w:rsidR="00D3090B" w:rsidRPr="00B133CD">
        <w:rPr>
          <w:rFonts w:asciiTheme="minorHAnsi" w:eastAsia="Times New Roman" w:hAnsiTheme="minorHAnsi" w:cstheme="minorHAnsi"/>
          <w:sz w:val="24"/>
          <w:szCs w:val="24"/>
        </w:rPr>
        <w:t>permanent and temporary improvements</w:t>
      </w:r>
      <w:r w:rsidR="006F7866">
        <w:rPr>
          <w:rFonts w:asciiTheme="minorHAnsi" w:eastAsia="Times New Roman" w:hAnsiTheme="minorHAnsi" w:cstheme="minorHAnsi"/>
          <w:sz w:val="24"/>
          <w:szCs w:val="24"/>
        </w:rPr>
        <w:t xml:space="preserve"> that</w:t>
      </w:r>
      <w:r w:rsidR="00D3090B" w:rsidRPr="00B133CD">
        <w:rPr>
          <w:rFonts w:asciiTheme="minorHAnsi" w:eastAsia="Times New Roman" w:hAnsiTheme="minorHAnsi" w:cstheme="minorHAnsi"/>
          <w:sz w:val="24"/>
          <w:szCs w:val="24"/>
        </w:rPr>
        <w:t xml:space="preserve"> the state Department of Transportation is likely to construct for the project, </w:t>
      </w:r>
      <w:r w:rsidR="00625035">
        <w:rPr>
          <w:rFonts w:asciiTheme="minorHAnsi" w:eastAsia="Times New Roman" w:hAnsiTheme="minorHAnsi" w:cstheme="minorHAnsi"/>
          <w:sz w:val="24"/>
          <w:szCs w:val="24"/>
        </w:rPr>
        <w:t>especially</w:t>
      </w:r>
      <w:r w:rsidR="00D3090B" w:rsidRPr="00B133CD">
        <w:rPr>
          <w:rFonts w:asciiTheme="minorHAnsi" w:eastAsia="Times New Roman" w:hAnsiTheme="minorHAnsi" w:cstheme="minorHAnsi"/>
          <w:sz w:val="24"/>
          <w:szCs w:val="24"/>
        </w:rPr>
        <w:t xml:space="preserve"> highway and airstrip </w:t>
      </w:r>
      <w:r w:rsidR="00206847">
        <w:rPr>
          <w:rFonts w:asciiTheme="minorHAnsi" w:eastAsia="Times New Roman" w:hAnsiTheme="minorHAnsi" w:cstheme="minorHAnsi"/>
          <w:sz w:val="24"/>
          <w:szCs w:val="24"/>
        </w:rPr>
        <w:t>work</w:t>
      </w:r>
      <w:r w:rsidR="00D3090B" w:rsidRPr="00B133CD">
        <w:rPr>
          <w:rFonts w:asciiTheme="minorHAnsi" w:eastAsia="Times New Roman" w:hAnsiTheme="minorHAnsi" w:cstheme="minorHAnsi"/>
          <w:sz w:val="24"/>
          <w:szCs w:val="24"/>
        </w:rPr>
        <w:t>: December.</w:t>
      </w:r>
    </w:p>
    <w:p w:rsidR="00D3090B" w:rsidRPr="00B133CD" w:rsidRDefault="003B330C" w:rsidP="00B133CD">
      <w:pPr>
        <w:pStyle w:val="ListParagraph"/>
        <w:numPr>
          <w:ilvl w:val="0"/>
          <w:numId w:val="2"/>
        </w:numPr>
        <w:spacing w:before="160" w:after="0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B133CD">
        <w:rPr>
          <w:rFonts w:asciiTheme="minorHAnsi" w:eastAsia="Times New Roman" w:hAnsiTheme="minorHAnsi" w:cstheme="minorHAnsi"/>
          <w:sz w:val="24"/>
          <w:szCs w:val="24"/>
        </w:rPr>
        <w:t xml:space="preserve">A response to the Environmental Protection Agency’s request for an evaluation of how the </w:t>
      </w:r>
      <w:r w:rsidR="00206847">
        <w:rPr>
          <w:rFonts w:asciiTheme="minorHAnsi" w:eastAsia="Times New Roman" w:hAnsiTheme="minorHAnsi" w:cstheme="minorHAnsi"/>
          <w:sz w:val="24"/>
          <w:szCs w:val="24"/>
        </w:rPr>
        <w:t xml:space="preserve">gas line </w:t>
      </w:r>
      <w:r w:rsidRPr="00B133CD">
        <w:rPr>
          <w:rFonts w:asciiTheme="minorHAnsi" w:eastAsia="Times New Roman" w:hAnsiTheme="minorHAnsi" w:cstheme="minorHAnsi"/>
          <w:sz w:val="24"/>
          <w:szCs w:val="24"/>
        </w:rPr>
        <w:t>pro</w:t>
      </w:r>
      <w:r w:rsidR="00BA17DA">
        <w:rPr>
          <w:rFonts w:asciiTheme="minorHAnsi" w:eastAsia="Times New Roman" w:hAnsiTheme="minorHAnsi" w:cstheme="minorHAnsi"/>
          <w:sz w:val="24"/>
          <w:szCs w:val="24"/>
        </w:rPr>
        <w:t>ject</w:t>
      </w:r>
      <w:r w:rsidRPr="00B133CD">
        <w:rPr>
          <w:rFonts w:asciiTheme="minorHAnsi" w:eastAsia="Times New Roman" w:hAnsiTheme="minorHAnsi" w:cstheme="minorHAnsi"/>
          <w:sz w:val="24"/>
          <w:szCs w:val="24"/>
        </w:rPr>
        <w:t xml:space="preserve"> would or would not promote growth in </w:t>
      </w:r>
      <w:r w:rsidR="00206847">
        <w:rPr>
          <w:rFonts w:asciiTheme="minorHAnsi" w:eastAsia="Times New Roman" w:hAnsiTheme="minorHAnsi" w:cstheme="minorHAnsi"/>
          <w:sz w:val="24"/>
          <w:szCs w:val="24"/>
        </w:rPr>
        <w:t xml:space="preserve">Alaska </w:t>
      </w:r>
      <w:r w:rsidRPr="00B133CD">
        <w:rPr>
          <w:rFonts w:asciiTheme="minorHAnsi" w:eastAsia="Times New Roman" w:hAnsiTheme="minorHAnsi" w:cstheme="minorHAnsi"/>
          <w:sz w:val="24"/>
          <w:szCs w:val="24"/>
        </w:rPr>
        <w:t>communities with access to gas supplies: December.</w:t>
      </w:r>
    </w:p>
    <w:p w:rsidR="003B330C" w:rsidRPr="00B133CD" w:rsidRDefault="003B330C" w:rsidP="00B133CD">
      <w:pPr>
        <w:pStyle w:val="ListParagraph"/>
        <w:numPr>
          <w:ilvl w:val="0"/>
          <w:numId w:val="2"/>
        </w:numPr>
        <w:spacing w:before="160" w:after="0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B133CD">
        <w:rPr>
          <w:rFonts w:asciiTheme="minorHAnsi" w:eastAsia="Times New Roman" w:hAnsiTheme="minorHAnsi" w:cstheme="minorHAnsi"/>
          <w:sz w:val="24"/>
          <w:szCs w:val="24"/>
        </w:rPr>
        <w:t>Detailed mapping of any seismic hazards within 5 miles of the mainline and Point Thomson pipeline, and any areas within a quarter-mile that would require “special treatment” to protect permafrost: December.</w:t>
      </w:r>
    </w:p>
    <w:p w:rsidR="003B330C" w:rsidRPr="00B133CD" w:rsidRDefault="003B330C" w:rsidP="00B133CD">
      <w:pPr>
        <w:pStyle w:val="ListParagraph"/>
        <w:numPr>
          <w:ilvl w:val="0"/>
          <w:numId w:val="2"/>
        </w:numPr>
        <w:spacing w:before="160" w:after="0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B133CD">
        <w:rPr>
          <w:rFonts w:asciiTheme="minorHAnsi" w:eastAsia="Times New Roman" w:hAnsiTheme="minorHAnsi" w:cstheme="minorHAnsi"/>
          <w:sz w:val="24"/>
          <w:szCs w:val="24"/>
        </w:rPr>
        <w:t>Erosion control</w:t>
      </w:r>
      <w:r w:rsidR="00E45CB6" w:rsidRPr="00B133CD">
        <w:rPr>
          <w:rFonts w:asciiTheme="minorHAnsi" w:eastAsia="Times New Roman" w:hAnsiTheme="minorHAnsi" w:cstheme="minorHAnsi"/>
          <w:sz w:val="24"/>
          <w:szCs w:val="24"/>
        </w:rPr>
        <w:t xml:space="preserve"> measures along the </w:t>
      </w:r>
      <w:r w:rsidR="00206847">
        <w:rPr>
          <w:rFonts w:asciiTheme="minorHAnsi" w:eastAsia="Times New Roman" w:hAnsiTheme="minorHAnsi" w:cstheme="minorHAnsi"/>
          <w:sz w:val="24"/>
          <w:szCs w:val="24"/>
        </w:rPr>
        <w:t xml:space="preserve">Cook Inlet </w:t>
      </w:r>
      <w:r w:rsidR="00E45CB6" w:rsidRPr="00B133CD">
        <w:rPr>
          <w:rFonts w:asciiTheme="minorHAnsi" w:eastAsia="Times New Roman" w:hAnsiTheme="minorHAnsi" w:cstheme="minorHAnsi"/>
          <w:sz w:val="24"/>
          <w:szCs w:val="24"/>
        </w:rPr>
        <w:t xml:space="preserve">bluff in </w:t>
      </w:r>
      <w:r w:rsidR="00D679CC">
        <w:rPr>
          <w:rFonts w:asciiTheme="minorHAnsi" w:eastAsia="Times New Roman" w:hAnsiTheme="minorHAnsi" w:cstheme="minorHAnsi"/>
          <w:sz w:val="24"/>
          <w:szCs w:val="24"/>
        </w:rPr>
        <w:t>front</w:t>
      </w:r>
      <w:r w:rsidR="00E45CB6" w:rsidRPr="00B133CD">
        <w:rPr>
          <w:rFonts w:asciiTheme="minorHAnsi" w:eastAsia="Times New Roman" w:hAnsiTheme="minorHAnsi" w:cstheme="minorHAnsi"/>
          <w:sz w:val="24"/>
          <w:szCs w:val="24"/>
        </w:rPr>
        <w:t xml:space="preserve"> of the LNG plant: December.</w:t>
      </w:r>
    </w:p>
    <w:p w:rsidR="00E45CB6" w:rsidRPr="00B133CD" w:rsidRDefault="00E45CB6" w:rsidP="00B133CD">
      <w:pPr>
        <w:pStyle w:val="ListParagraph"/>
        <w:numPr>
          <w:ilvl w:val="0"/>
          <w:numId w:val="2"/>
        </w:numPr>
        <w:spacing w:before="160" w:after="0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B133CD">
        <w:rPr>
          <w:rFonts w:asciiTheme="minorHAnsi" w:eastAsia="Times New Roman" w:hAnsiTheme="minorHAnsi" w:cstheme="minorHAnsi"/>
          <w:sz w:val="24"/>
          <w:szCs w:val="24"/>
        </w:rPr>
        <w:t>Evaluation of alternative freshwater sources at the LNG plant site to avoid or at least minimize impacts on the local aquifer: December.</w:t>
      </w:r>
    </w:p>
    <w:p w:rsidR="00E45CB6" w:rsidRDefault="00E45CB6" w:rsidP="00D74E5B">
      <w:pPr>
        <w:spacing w:after="0"/>
        <w:rPr>
          <w:rFonts w:asciiTheme="minorHAnsi" w:eastAsia="Times New Roman" w:hAnsiTheme="minorHAnsi" w:cstheme="minorHAnsi"/>
          <w:sz w:val="24"/>
          <w:szCs w:val="24"/>
        </w:rPr>
      </w:pPr>
    </w:p>
    <w:p w:rsidR="00B133CD" w:rsidRDefault="00525B1F" w:rsidP="00D74E5B">
      <w:pPr>
        <w:spacing w:after="0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In its July 28 addition to AGDC’s work assignment, </w:t>
      </w:r>
      <w:hyperlink r:id="rId13" w:history="1">
        <w:r w:rsidRPr="00971B44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>FERC asked</w:t>
        </w:r>
      </w:hyperlink>
      <w:r>
        <w:rPr>
          <w:rFonts w:asciiTheme="minorHAnsi" w:eastAsia="Times New Roman" w:hAnsiTheme="minorHAnsi" w:cstheme="minorHAnsi"/>
          <w:sz w:val="24"/>
          <w:szCs w:val="24"/>
        </w:rPr>
        <w:t xml:space="preserve"> for:</w:t>
      </w:r>
    </w:p>
    <w:p w:rsidR="00525B1F" w:rsidRPr="002F2541" w:rsidRDefault="00525B1F" w:rsidP="002F2541">
      <w:pPr>
        <w:pStyle w:val="ListParagraph"/>
        <w:numPr>
          <w:ilvl w:val="0"/>
          <w:numId w:val="3"/>
        </w:numPr>
        <w:spacing w:before="160" w:after="0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2F2541">
        <w:rPr>
          <w:rFonts w:asciiTheme="minorHAnsi" w:eastAsia="Times New Roman" w:hAnsiTheme="minorHAnsi" w:cstheme="minorHAnsi"/>
          <w:sz w:val="24"/>
          <w:szCs w:val="24"/>
        </w:rPr>
        <w:t>A year-by-year breakdown of Alaska resident and non-resident hire during construction.</w:t>
      </w:r>
    </w:p>
    <w:p w:rsidR="00525B1F" w:rsidRPr="002F2541" w:rsidRDefault="00525B1F" w:rsidP="002F2541">
      <w:pPr>
        <w:pStyle w:val="ListParagraph"/>
        <w:numPr>
          <w:ilvl w:val="0"/>
          <w:numId w:val="3"/>
        </w:numPr>
        <w:spacing w:before="160" w:after="0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2F2541">
        <w:rPr>
          <w:rFonts w:asciiTheme="minorHAnsi" w:eastAsia="Times New Roman" w:hAnsiTheme="minorHAnsi" w:cstheme="minorHAnsi"/>
          <w:sz w:val="24"/>
          <w:szCs w:val="24"/>
        </w:rPr>
        <w:t>A year-by-year breakdown of purchases of goods and services in Alaska during construction.</w:t>
      </w:r>
    </w:p>
    <w:p w:rsidR="00BA17DA" w:rsidRPr="002F2541" w:rsidRDefault="00BA17DA" w:rsidP="00BA17DA">
      <w:pPr>
        <w:pStyle w:val="ListParagraph"/>
        <w:numPr>
          <w:ilvl w:val="0"/>
          <w:numId w:val="3"/>
        </w:numPr>
        <w:spacing w:before="160" w:after="0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2F2541">
        <w:rPr>
          <w:rFonts w:asciiTheme="minorHAnsi" w:eastAsia="Times New Roman" w:hAnsiTheme="minorHAnsi" w:cstheme="minorHAnsi"/>
          <w:sz w:val="24"/>
          <w:szCs w:val="24"/>
        </w:rPr>
        <w:t>More information on how AGDC would recruit and train Alaskans for construction jobs.</w:t>
      </w:r>
    </w:p>
    <w:p w:rsidR="00525B1F" w:rsidRPr="002F2541" w:rsidRDefault="0094075E" w:rsidP="002F2541">
      <w:pPr>
        <w:pStyle w:val="ListParagraph"/>
        <w:numPr>
          <w:ilvl w:val="0"/>
          <w:numId w:val="3"/>
        </w:numPr>
        <w:spacing w:before="160" w:after="0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2F2541">
        <w:rPr>
          <w:rFonts w:asciiTheme="minorHAnsi" w:eastAsia="Times New Roman" w:hAnsiTheme="minorHAnsi" w:cstheme="minorHAnsi"/>
          <w:sz w:val="24"/>
          <w:szCs w:val="24"/>
        </w:rPr>
        <w:t xml:space="preserve">More information on the construction project’s impacts on Alaska’s tourism and recreational economies and </w:t>
      </w:r>
      <w:r w:rsidR="00206847">
        <w:rPr>
          <w:rFonts w:asciiTheme="minorHAnsi" w:eastAsia="Times New Roman" w:hAnsiTheme="minorHAnsi" w:cstheme="minorHAnsi"/>
          <w:sz w:val="24"/>
          <w:szCs w:val="24"/>
        </w:rPr>
        <w:t>housing availability and prices.</w:t>
      </w:r>
    </w:p>
    <w:p w:rsidR="00BA17DA" w:rsidRPr="002F2541" w:rsidRDefault="00BA17DA" w:rsidP="00BA17DA">
      <w:pPr>
        <w:pStyle w:val="ListParagraph"/>
        <w:numPr>
          <w:ilvl w:val="0"/>
          <w:numId w:val="3"/>
        </w:numPr>
        <w:spacing w:before="160" w:after="0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2F2541">
        <w:rPr>
          <w:rFonts w:asciiTheme="minorHAnsi" w:eastAsia="Times New Roman" w:hAnsiTheme="minorHAnsi" w:cstheme="minorHAnsi"/>
          <w:sz w:val="24"/>
          <w:szCs w:val="24"/>
        </w:rPr>
        <w:t xml:space="preserve">How impact aid payments would be apportioned </w:t>
      </w:r>
      <w:r w:rsidR="00206847">
        <w:rPr>
          <w:rFonts w:asciiTheme="minorHAnsi" w:eastAsia="Times New Roman" w:hAnsiTheme="minorHAnsi" w:cstheme="minorHAnsi"/>
          <w:sz w:val="24"/>
          <w:szCs w:val="24"/>
        </w:rPr>
        <w:t>to</w:t>
      </w:r>
      <w:r w:rsidRPr="002F2541">
        <w:rPr>
          <w:rFonts w:asciiTheme="minorHAnsi" w:eastAsia="Times New Roman" w:hAnsiTheme="minorHAnsi" w:cstheme="minorHAnsi"/>
          <w:sz w:val="24"/>
          <w:szCs w:val="24"/>
        </w:rPr>
        <w:t xml:space="preserve"> communities affected by the project.</w:t>
      </w:r>
    </w:p>
    <w:p w:rsidR="0094075E" w:rsidRPr="002F2541" w:rsidRDefault="0094075E" w:rsidP="002F2541">
      <w:pPr>
        <w:pStyle w:val="ListParagraph"/>
        <w:numPr>
          <w:ilvl w:val="0"/>
          <w:numId w:val="3"/>
        </w:numPr>
        <w:spacing w:before="160" w:after="0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2F2541">
        <w:rPr>
          <w:rFonts w:asciiTheme="minorHAnsi" w:eastAsia="Times New Roman" w:hAnsiTheme="minorHAnsi" w:cstheme="minorHAnsi"/>
          <w:sz w:val="24"/>
          <w:szCs w:val="24"/>
        </w:rPr>
        <w:lastRenderedPageBreak/>
        <w:t>More information on how project construction hiring could make it difficult for local police, emergency services and fire departments to recruit and retain employees and volunteers.</w:t>
      </w:r>
    </w:p>
    <w:p w:rsidR="0094075E" w:rsidRPr="002F2541" w:rsidRDefault="006E2D5D" w:rsidP="002F2541">
      <w:pPr>
        <w:pStyle w:val="ListParagraph"/>
        <w:numPr>
          <w:ilvl w:val="0"/>
          <w:numId w:val="3"/>
        </w:numPr>
        <w:spacing w:before="160" w:after="0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2F2541">
        <w:rPr>
          <w:rFonts w:asciiTheme="minorHAnsi" w:eastAsia="Times New Roman" w:hAnsiTheme="minorHAnsi" w:cstheme="minorHAnsi"/>
          <w:sz w:val="24"/>
          <w:szCs w:val="24"/>
        </w:rPr>
        <w:t>An analysis of how the project could affect the state’s salmon industry</w:t>
      </w:r>
      <w:r w:rsidR="006F490B" w:rsidRPr="002F2541">
        <w:rPr>
          <w:rFonts w:asciiTheme="minorHAnsi" w:eastAsia="Times New Roman" w:hAnsiTheme="minorHAnsi" w:cstheme="minorHAnsi"/>
          <w:sz w:val="24"/>
          <w:szCs w:val="24"/>
        </w:rPr>
        <w:t>, including a more detailed explanation of salmon gillnet fishing in Cook Inlet and economic compensation for fishe</w:t>
      </w:r>
      <w:r w:rsidR="00206847">
        <w:rPr>
          <w:rFonts w:asciiTheme="minorHAnsi" w:eastAsia="Times New Roman" w:hAnsiTheme="minorHAnsi" w:cstheme="minorHAnsi"/>
          <w:sz w:val="24"/>
          <w:szCs w:val="24"/>
        </w:rPr>
        <w:t>r</w:t>
      </w:r>
      <w:r w:rsidR="006F490B" w:rsidRPr="002F2541">
        <w:rPr>
          <w:rFonts w:asciiTheme="minorHAnsi" w:eastAsia="Times New Roman" w:hAnsiTheme="minorHAnsi" w:cstheme="minorHAnsi"/>
          <w:sz w:val="24"/>
          <w:szCs w:val="24"/>
        </w:rPr>
        <w:t>s displaced by the project</w:t>
      </w:r>
      <w:r w:rsidRPr="002F2541">
        <w:rPr>
          <w:rFonts w:asciiTheme="minorHAnsi" w:eastAsia="Times New Roman" w:hAnsiTheme="minorHAnsi" w:cstheme="minorHAnsi"/>
          <w:sz w:val="24"/>
          <w:szCs w:val="24"/>
        </w:rPr>
        <w:t>.</w:t>
      </w:r>
    </w:p>
    <w:p w:rsidR="00BA17DA" w:rsidRPr="00BA17DA" w:rsidRDefault="00BA17DA" w:rsidP="00BA17DA">
      <w:pPr>
        <w:pStyle w:val="ListParagraph"/>
        <w:numPr>
          <w:ilvl w:val="0"/>
          <w:numId w:val="3"/>
        </w:numPr>
        <w:spacing w:before="160" w:after="0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BA17DA">
        <w:rPr>
          <w:rFonts w:asciiTheme="minorHAnsi" w:eastAsia="Times New Roman" w:hAnsiTheme="minorHAnsi" w:cstheme="minorHAnsi"/>
          <w:sz w:val="24"/>
          <w:szCs w:val="24"/>
        </w:rPr>
        <w:t xml:space="preserve">Detailed subsistence-use mapping for communities along the project route, including an analysis of project impacts on subsistence areas and users — particularly </w:t>
      </w:r>
      <w:r w:rsidR="00206847">
        <w:rPr>
          <w:rFonts w:asciiTheme="minorHAnsi" w:eastAsia="Times New Roman" w:hAnsiTheme="minorHAnsi" w:cstheme="minorHAnsi"/>
          <w:sz w:val="24"/>
          <w:szCs w:val="24"/>
        </w:rPr>
        <w:t xml:space="preserve">any </w:t>
      </w:r>
      <w:r w:rsidRPr="00BA17DA">
        <w:rPr>
          <w:rFonts w:asciiTheme="minorHAnsi" w:eastAsia="Times New Roman" w:hAnsiTheme="minorHAnsi" w:cstheme="minorHAnsi"/>
          <w:sz w:val="24"/>
          <w:szCs w:val="24"/>
        </w:rPr>
        <w:t xml:space="preserve">measures to avoid impacts on subsistence users and areas by construction activities and </w:t>
      </w:r>
      <w:r w:rsidR="006F7866">
        <w:rPr>
          <w:rFonts w:asciiTheme="minorHAnsi" w:eastAsia="Times New Roman" w:hAnsiTheme="minorHAnsi" w:cstheme="minorHAnsi"/>
          <w:sz w:val="24"/>
          <w:szCs w:val="24"/>
        </w:rPr>
        <w:t xml:space="preserve">off-duty </w:t>
      </w:r>
      <w:r w:rsidRPr="00BA17DA">
        <w:rPr>
          <w:rFonts w:asciiTheme="minorHAnsi" w:eastAsia="Times New Roman" w:hAnsiTheme="minorHAnsi" w:cstheme="minorHAnsi"/>
          <w:sz w:val="24"/>
          <w:szCs w:val="24"/>
        </w:rPr>
        <w:t>work crews.</w:t>
      </w:r>
    </w:p>
    <w:p w:rsidR="00BA17DA" w:rsidRPr="00BA17DA" w:rsidRDefault="00206847" w:rsidP="00BA17DA">
      <w:pPr>
        <w:pStyle w:val="ListParagraph"/>
        <w:numPr>
          <w:ilvl w:val="0"/>
          <w:numId w:val="3"/>
        </w:numPr>
        <w:spacing w:before="160" w:after="0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How</w:t>
      </w:r>
      <w:r w:rsidR="00BA17DA" w:rsidRPr="002F2541">
        <w:rPr>
          <w:rFonts w:asciiTheme="minorHAnsi" w:eastAsia="Times New Roman" w:hAnsiTheme="minorHAnsi" w:cstheme="minorHAnsi"/>
          <w:sz w:val="24"/>
          <w:szCs w:val="24"/>
        </w:rPr>
        <w:t xml:space="preserve"> recreational hunting, fishing and other activities by off-duty construction workers would affect recreational activities for residents and visitors, including steps the project would take to lessen impacts by off-duty workers.</w:t>
      </w:r>
    </w:p>
    <w:p w:rsidR="006F490B" w:rsidRPr="002F2541" w:rsidRDefault="006F490B" w:rsidP="002F2541">
      <w:pPr>
        <w:pStyle w:val="ListParagraph"/>
        <w:numPr>
          <w:ilvl w:val="0"/>
          <w:numId w:val="3"/>
        </w:numPr>
        <w:spacing w:before="160" w:after="0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2F2541">
        <w:rPr>
          <w:rFonts w:asciiTheme="minorHAnsi" w:eastAsia="Times New Roman" w:hAnsiTheme="minorHAnsi" w:cstheme="minorHAnsi"/>
          <w:sz w:val="24"/>
          <w:szCs w:val="24"/>
        </w:rPr>
        <w:t>A list of highways and roads that would require improvements to handle construction traffic and who would be responsible for pre-construction improvements and post-construction repairs.</w:t>
      </w:r>
      <w:r w:rsidR="00500DE5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2F2541">
        <w:rPr>
          <w:rFonts w:asciiTheme="minorHAnsi" w:eastAsia="Times New Roman" w:hAnsiTheme="minorHAnsi" w:cstheme="minorHAnsi"/>
          <w:sz w:val="24"/>
          <w:szCs w:val="24"/>
        </w:rPr>
        <w:t xml:space="preserve"> In addition, FERC asked for more information on additional pull-outs, passing lanes, weigh stations and truck staging areas that might be needed to handle the construction traffic on state highways.</w:t>
      </w:r>
    </w:p>
    <w:p w:rsidR="00BA17DA" w:rsidRPr="002F2541" w:rsidRDefault="00BA17DA" w:rsidP="00BA17DA">
      <w:pPr>
        <w:pStyle w:val="ListParagraph"/>
        <w:numPr>
          <w:ilvl w:val="0"/>
          <w:numId w:val="3"/>
        </w:numPr>
        <w:spacing w:before="160" w:after="0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2F2541">
        <w:rPr>
          <w:rFonts w:asciiTheme="minorHAnsi" w:eastAsia="Times New Roman" w:hAnsiTheme="minorHAnsi" w:cstheme="minorHAnsi"/>
          <w:sz w:val="24"/>
          <w:szCs w:val="24"/>
        </w:rPr>
        <w:t xml:space="preserve">A traffic management plan that addresses </w:t>
      </w:r>
      <w:r w:rsidR="00206847">
        <w:rPr>
          <w:rFonts w:asciiTheme="minorHAnsi" w:eastAsia="Times New Roman" w:hAnsiTheme="minorHAnsi" w:cstheme="minorHAnsi"/>
          <w:sz w:val="24"/>
          <w:szCs w:val="24"/>
        </w:rPr>
        <w:t xml:space="preserve">freight </w:t>
      </w:r>
      <w:r w:rsidRPr="002F2541">
        <w:rPr>
          <w:rFonts w:asciiTheme="minorHAnsi" w:eastAsia="Times New Roman" w:hAnsiTheme="minorHAnsi" w:cstheme="minorHAnsi"/>
          <w:sz w:val="24"/>
          <w:szCs w:val="24"/>
        </w:rPr>
        <w:t>delivery schedules, flaggers, road closures and other control measures during construction along the Glenn, Parks, Seward, Sterling and Kenai Spur highways.</w:t>
      </w:r>
    </w:p>
    <w:p w:rsidR="00BA17DA" w:rsidRPr="00206847" w:rsidRDefault="00BA17DA" w:rsidP="00206847">
      <w:pPr>
        <w:pStyle w:val="ListParagraph"/>
        <w:numPr>
          <w:ilvl w:val="0"/>
          <w:numId w:val="3"/>
        </w:numPr>
        <w:spacing w:before="160" w:after="0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2F2541">
        <w:rPr>
          <w:rFonts w:asciiTheme="minorHAnsi" w:eastAsia="Times New Roman" w:hAnsiTheme="minorHAnsi" w:cstheme="minorHAnsi"/>
          <w:sz w:val="24"/>
          <w:szCs w:val="24"/>
        </w:rPr>
        <w:t>The criteria and analyses used to select and evaluate relocation opt</w:t>
      </w:r>
      <w:r w:rsidR="00206847">
        <w:rPr>
          <w:rFonts w:asciiTheme="minorHAnsi" w:eastAsia="Times New Roman" w:hAnsiTheme="minorHAnsi" w:cstheme="minorHAnsi"/>
          <w:sz w:val="24"/>
          <w:szCs w:val="24"/>
        </w:rPr>
        <w:t>ions for the Kenai Spur Highway;</w:t>
      </w:r>
      <w:r w:rsidRPr="002F2541">
        <w:rPr>
          <w:rFonts w:asciiTheme="minorHAnsi" w:eastAsia="Times New Roman" w:hAnsiTheme="minorHAnsi" w:cstheme="minorHAnsi"/>
          <w:sz w:val="24"/>
          <w:szCs w:val="24"/>
        </w:rPr>
        <w:t xml:space="preserve"> how businesses and residences would be preserved during the highway relocation</w:t>
      </w:r>
      <w:r w:rsidR="00206847">
        <w:rPr>
          <w:rFonts w:asciiTheme="minorHAnsi" w:eastAsia="Times New Roman" w:hAnsiTheme="minorHAnsi" w:cstheme="minorHAnsi"/>
          <w:sz w:val="24"/>
          <w:szCs w:val="24"/>
        </w:rPr>
        <w:t>;</w:t>
      </w:r>
      <w:r w:rsidR="00206847" w:rsidRPr="0020684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206847" w:rsidRPr="002F2541">
        <w:rPr>
          <w:rFonts w:asciiTheme="minorHAnsi" w:eastAsia="Times New Roman" w:hAnsiTheme="minorHAnsi" w:cstheme="minorHAnsi"/>
          <w:sz w:val="24"/>
          <w:szCs w:val="24"/>
        </w:rPr>
        <w:t>and a detailed noise analysis of construction work and traffic on the relocated Kenai Spur Highway.</w:t>
      </w:r>
    </w:p>
    <w:p w:rsidR="006F490B" w:rsidRPr="002F2541" w:rsidRDefault="006F490B" w:rsidP="002F2541">
      <w:pPr>
        <w:pStyle w:val="ListParagraph"/>
        <w:numPr>
          <w:ilvl w:val="0"/>
          <w:numId w:val="3"/>
        </w:numPr>
        <w:spacing w:before="160" w:after="0"/>
        <w:contextualSpacing w:val="0"/>
        <w:rPr>
          <w:rFonts w:asciiTheme="minorHAnsi" w:eastAsia="Times New Roman" w:hAnsiTheme="minorHAnsi" w:cstheme="minorHAnsi"/>
          <w:sz w:val="24"/>
          <w:szCs w:val="24"/>
        </w:rPr>
      </w:pPr>
      <w:r w:rsidRPr="002F2541">
        <w:rPr>
          <w:rFonts w:asciiTheme="minorHAnsi" w:eastAsia="Times New Roman" w:hAnsiTheme="minorHAnsi" w:cstheme="minorHAnsi"/>
          <w:sz w:val="24"/>
          <w:szCs w:val="24"/>
        </w:rPr>
        <w:t xml:space="preserve">More information on the primary and secondary ports that would be used </w:t>
      </w:r>
      <w:r w:rsidR="00653655" w:rsidRPr="002F2541">
        <w:rPr>
          <w:rFonts w:asciiTheme="minorHAnsi" w:eastAsia="Times New Roman" w:hAnsiTheme="minorHAnsi" w:cstheme="minorHAnsi"/>
          <w:sz w:val="24"/>
          <w:szCs w:val="24"/>
        </w:rPr>
        <w:t>during</w:t>
      </w:r>
      <w:r w:rsidRPr="002F2541">
        <w:rPr>
          <w:rFonts w:asciiTheme="minorHAnsi" w:eastAsia="Times New Roman" w:hAnsiTheme="minorHAnsi" w:cstheme="minorHAnsi"/>
          <w:sz w:val="24"/>
          <w:szCs w:val="24"/>
        </w:rPr>
        <w:t xml:space="preserve"> construction</w:t>
      </w:r>
      <w:r w:rsidR="00653655" w:rsidRPr="002F2541">
        <w:rPr>
          <w:rFonts w:asciiTheme="minorHAnsi" w:eastAsia="Times New Roman" w:hAnsiTheme="minorHAnsi" w:cstheme="minorHAnsi"/>
          <w:sz w:val="24"/>
          <w:szCs w:val="24"/>
        </w:rPr>
        <w:t xml:space="preserve">, including any dock or </w:t>
      </w:r>
      <w:r w:rsidR="00206847">
        <w:rPr>
          <w:rFonts w:asciiTheme="minorHAnsi" w:eastAsia="Times New Roman" w:hAnsiTheme="minorHAnsi" w:cstheme="minorHAnsi"/>
          <w:sz w:val="24"/>
          <w:szCs w:val="24"/>
        </w:rPr>
        <w:t>staging</w:t>
      </w:r>
      <w:r w:rsidR="00653655" w:rsidRPr="002F2541">
        <w:rPr>
          <w:rFonts w:asciiTheme="minorHAnsi" w:eastAsia="Times New Roman" w:hAnsiTheme="minorHAnsi" w:cstheme="minorHAnsi"/>
          <w:sz w:val="24"/>
          <w:szCs w:val="24"/>
        </w:rPr>
        <w:t xml:space="preserve"> yard modifications that would be required in Anchorage or Seward</w:t>
      </w:r>
      <w:r w:rsidRPr="002F2541">
        <w:rPr>
          <w:rFonts w:asciiTheme="minorHAnsi" w:eastAsia="Times New Roman" w:hAnsiTheme="minorHAnsi" w:cstheme="minorHAnsi"/>
          <w:sz w:val="24"/>
          <w:szCs w:val="24"/>
        </w:rPr>
        <w:t>.</w:t>
      </w:r>
    </w:p>
    <w:p w:rsidR="00086564" w:rsidRPr="00206847" w:rsidRDefault="00086564" w:rsidP="00206847">
      <w:pPr>
        <w:spacing w:before="160" w:after="0"/>
        <w:rPr>
          <w:rFonts w:asciiTheme="minorHAnsi" w:eastAsia="Times New Roman" w:hAnsiTheme="minorHAnsi" w:cstheme="minorHAnsi"/>
          <w:sz w:val="24"/>
          <w:szCs w:val="24"/>
        </w:rPr>
      </w:pPr>
    </w:p>
    <w:sectPr w:rsidR="00086564" w:rsidRPr="00206847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356" w:rsidRDefault="002B2356" w:rsidP="00C02995">
      <w:pPr>
        <w:spacing w:after="0"/>
      </w:pPr>
      <w:r>
        <w:separator/>
      </w:r>
    </w:p>
  </w:endnote>
  <w:endnote w:type="continuationSeparator" w:id="0">
    <w:p w:rsidR="002B2356" w:rsidRDefault="002B2356" w:rsidP="00C029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620697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500DE5" w:rsidRDefault="00500DE5" w:rsidP="00500DE5">
        <w:pPr>
          <w:pStyle w:val="Footer"/>
          <w:pBdr>
            <w:top w:val="single" w:sz="4" w:space="1" w:color="D9D9D9" w:themeColor="background1" w:themeShade="D9"/>
          </w:pBdr>
          <w:jc w:val="right"/>
        </w:pPr>
        <w:r w:rsidRPr="00500DE5">
          <w:rPr>
            <w:sz w:val="22"/>
          </w:rPr>
          <w:fldChar w:fldCharType="begin"/>
        </w:r>
        <w:r w:rsidRPr="00500DE5">
          <w:rPr>
            <w:sz w:val="22"/>
          </w:rPr>
          <w:instrText xml:space="preserve"> PAGE   \* MERGEFORMAT </w:instrText>
        </w:r>
        <w:r w:rsidRPr="00500DE5">
          <w:rPr>
            <w:sz w:val="22"/>
          </w:rPr>
          <w:fldChar w:fldCharType="separate"/>
        </w:r>
        <w:r w:rsidR="00D42122">
          <w:rPr>
            <w:noProof/>
            <w:sz w:val="22"/>
          </w:rPr>
          <w:t>3</w:t>
        </w:r>
        <w:r w:rsidRPr="00500DE5">
          <w:rPr>
            <w:noProof/>
            <w:sz w:val="22"/>
          </w:rPr>
          <w:fldChar w:fldCharType="end"/>
        </w:r>
        <w:r w:rsidRPr="00500DE5">
          <w:rPr>
            <w:sz w:val="22"/>
          </w:rPr>
          <w:t xml:space="preserve"> | </w:t>
        </w:r>
        <w:r w:rsidRPr="00500DE5">
          <w:rPr>
            <w:color w:val="7F7F7F" w:themeColor="background1" w:themeShade="7F"/>
            <w:spacing w:val="60"/>
            <w:sz w:val="22"/>
          </w:rPr>
          <w:t>Page</w:t>
        </w:r>
      </w:p>
    </w:sdtContent>
  </w:sdt>
  <w:p w:rsidR="00086564" w:rsidRPr="00500DE5" w:rsidRDefault="00086564" w:rsidP="00500D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356" w:rsidRDefault="002B2356" w:rsidP="00C02995">
      <w:pPr>
        <w:spacing w:after="0"/>
      </w:pPr>
      <w:r>
        <w:separator/>
      </w:r>
    </w:p>
  </w:footnote>
  <w:footnote w:type="continuationSeparator" w:id="0">
    <w:p w:rsidR="002B2356" w:rsidRDefault="002B2356" w:rsidP="00C0299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E4409"/>
    <w:multiLevelType w:val="hybridMultilevel"/>
    <w:tmpl w:val="ADF04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1766B3"/>
    <w:multiLevelType w:val="hybridMultilevel"/>
    <w:tmpl w:val="6E96D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AC5790"/>
    <w:multiLevelType w:val="hybridMultilevel"/>
    <w:tmpl w:val="FEBE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ADB"/>
    <w:rsid w:val="00025630"/>
    <w:rsid w:val="00073A95"/>
    <w:rsid w:val="00086564"/>
    <w:rsid w:val="00091700"/>
    <w:rsid w:val="000917DB"/>
    <w:rsid w:val="000B2E91"/>
    <w:rsid w:val="000B430E"/>
    <w:rsid w:val="000F5599"/>
    <w:rsid w:val="001347BF"/>
    <w:rsid w:val="001677AA"/>
    <w:rsid w:val="001F4FFF"/>
    <w:rsid w:val="00206847"/>
    <w:rsid w:val="0021375A"/>
    <w:rsid w:val="0026797C"/>
    <w:rsid w:val="0027281A"/>
    <w:rsid w:val="0027397C"/>
    <w:rsid w:val="002B2356"/>
    <w:rsid w:val="002D7205"/>
    <w:rsid w:val="002D7E1C"/>
    <w:rsid w:val="002F2541"/>
    <w:rsid w:val="003014F0"/>
    <w:rsid w:val="0030386F"/>
    <w:rsid w:val="00303CDF"/>
    <w:rsid w:val="00314351"/>
    <w:rsid w:val="003703AC"/>
    <w:rsid w:val="00374661"/>
    <w:rsid w:val="00391BA4"/>
    <w:rsid w:val="003B330C"/>
    <w:rsid w:val="003D6C31"/>
    <w:rsid w:val="00402378"/>
    <w:rsid w:val="0042329F"/>
    <w:rsid w:val="00435739"/>
    <w:rsid w:val="0045399F"/>
    <w:rsid w:val="00481843"/>
    <w:rsid w:val="004D3C57"/>
    <w:rsid w:val="00500DE5"/>
    <w:rsid w:val="0050476D"/>
    <w:rsid w:val="00525B1F"/>
    <w:rsid w:val="00583D0B"/>
    <w:rsid w:val="005A53FF"/>
    <w:rsid w:val="005B6FEF"/>
    <w:rsid w:val="005F399F"/>
    <w:rsid w:val="005F46E2"/>
    <w:rsid w:val="00625035"/>
    <w:rsid w:val="006269A4"/>
    <w:rsid w:val="00635707"/>
    <w:rsid w:val="00637E0C"/>
    <w:rsid w:val="00653655"/>
    <w:rsid w:val="006A58B1"/>
    <w:rsid w:val="006B31DB"/>
    <w:rsid w:val="006E2D5D"/>
    <w:rsid w:val="006F490B"/>
    <w:rsid w:val="006F57CF"/>
    <w:rsid w:val="006F7866"/>
    <w:rsid w:val="00740446"/>
    <w:rsid w:val="00751C05"/>
    <w:rsid w:val="0077162E"/>
    <w:rsid w:val="0079122A"/>
    <w:rsid w:val="00792825"/>
    <w:rsid w:val="007C3559"/>
    <w:rsid w:val="00822A50"/>
    <w:rsid w:val="008E445D"/>
    <w:rsid w:val="008E4ADB"/>
    <w:rsid w:val="008F215C"/>
    <w:rsid w:val="009030FA"/>
    <w:rsid w:val="0094075E"/>
    <w:rsid w:val="0095276C"/>
    <w:rsid w:val="009531E0"/>
    <w:rsid w:val="009613E0"/>
    <w:rsid w:val="00971B44"/>
    <w:rsid w:val="009F4678"/>
    <w:rsid w:val="00A13325"/>
    <w:rsid w:val="00A270AD"/>
    <w:rsid w:val="00A33FA5"/>
    <w:rsid w:val="00A34E0E"/>
    <w:rsid w:val="00A65F1A"/>
    <w:rsid w:val="00A67A16"/>
    <w:rsid w:val="00A85584"/>
    <w:rsid w:val="00A93E2F"/>
    <w:rsid w:val="00AB21F7"/>
    <w:rsid w:val="00AD6A40"/>
    <w:rsid w:val="00AF287D"/>
    <w:rsid w:val="00B133CD"/>
    <w:rsid w:val="00B57C90"/>
    <w:rsid w:val="00B738A2"/>
    <w:rsid w:val="00B7686C"/>
    <w:rsid w:val="00BA0D3B"/>
    <w:rsid w:val="00BA17DA"/>
    <w:rsid w:val="00BC613B"/>
    <w:rsid w:val="00BD2096"/>
    <w:rsid w:val="00C02995"/>
    <w:rsid w:val="00C4437A"/>
    <w:rsid w:val="00C50817"/>
    <w:rsid w:val="00C741B1"/>
    <w:rsid w:val="00C954D0"/>
    <w:rsid w:val="00CB0E15"/>
    <w:rsid w:val="00CC13F6"/>
    <w:rsid w:val="00CD7899"/>
    <w:rsid w:val="00CE2DE5"/>
    <w:rsid w:val="00CF5151"/>
    <w:rsid w:val="00CF6C9F"/>
    <w:rsid w:val="00D11521"/>
    <w:rsid w:val="00D3090B"/>
    <w:rsid w:val="00D42122"/>
    <w:rsid w:val="00D50689"/>
    <w:rsid w:val="00D679CC"/>
    <w:rsid w:val="00D74E5B"/>
    <w:rsid w:val="00D77DDF"/>
    <w:rsid w:val="00D90494"/>
    <w:rsid w:val="00D93E23"/>
    <w:rsid w:val="00DF14F8"/>
    <w:rsid w:val="00E1349F"/>
    <w:rsid w:val="00E448D0"/>
    <w:rsid w:val="00E45CB6"/>
    <w:rsid w:val="00E479D6"/>
    <w:rsid w:val="00E805BB"/>
    <w:rsid w:val="00EA12EA"/>
    <w:rsid w:val="00EA55D8"/>
    <w:rsid w:val="00F16C12"/>
    <w:rsid w:val="00F34658"/>
    <w:rsid w:val="00F41A77"/>
    <w:rsid w:val="00F533AF"/>
    <w:rsid w:val="00F940E0"/>
    <w:rsid w:val="00FD1A2D"/>
    <w:rsid w:val="00FD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57A912-1A3E-4B1A-9383-FAE132FED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899"/>
    <w:pPr>
      <w:spacing w:after="240" w:line="240" w:lineRule="auto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789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E44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299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02995"/>
    <w:rPr>
      <w:rFonts w:ascii="Times New Roman" w:eastAsia="Calibri" w:hAnsi="Times New Roman" w:cs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C0299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02995"/>
    <w:rPr>
      <w:rFonts w:ascii="Times New Roman" w:eastAsia="Calibri" w:hAnsi="Times New Roman" w:cs="Times New Roman"/>
      <w:sz w:val="26"/>
    </w:rPr>
  </w:style>
  <w:style w:type="paragraph" w:customStyle="1" w:styleId="s3">
    <w:name w:val="s3"/>
    <w:basedOn w:val="Normal"/>
    <w:rsid w:val="000F5599"/>
    <w:pPr>
      <w:spacing w:after="0"/>
    </w:pPr>
    <w:rPr>
      <w:rFonts w:eastAsia="Times New Roman"/>
      <w:sz w:val="24"/>
      <w:szCs w:val="24"/>
    </w:rPr>
  </w:style>
  <w:style w:type="character" w:customStyle="1" w:styleId="bumpedfont15">
    <w:name w:val="bumpedfont15"/>
    <w:basedOn w:val="DefaultParagraphFont"/>
    <w:rsid w:val="000F5599"/>
  </w:style>
  <w:style w:type="character" w:customStyle="1" w:styleId="UnresolvedMention">
    <w:name w:val="Unresolved Mention"/>
    <w:basedOn w:val="DefaultParagraphFont"/>
    <w:uiPriority w:val="99"/>
    <w:semiHidden/>
    <w:unhideWhenUsed/>
    <w:rsid w:val="00637E0C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CF6C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7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4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37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36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01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ferc.gov/idmws/common/opennat.asp?fileID=14643455" TargetMode="External"/><Relationship Id="rId13" Type="http://schemas.openxmlformats.org/officeDocument/2006/relationships/hyperlink" Target="https://elibrary.ferc.gov/idmws/common/opennat.asp?fileID=14646029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persily@kpb.us" TargetMode="External"/><Relationship Id="rId12" Type="http://schemas.openxmlformats.org/officeDocument/2006/relationships/hyperlink" Target="https://elibrary.ferc.gov/idmws/common/opennat.asp?fileID=1464345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library.ferc.gov/idmws/common/opennat.asp?fileID=14646029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elibrary.ferc.gov/idmws/common/opennat.asp?fileID=146294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ferc.gov/idmws/common/opennat.asp?fileID=14629422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1498</Words>
  <Characters>8541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KENAI PENINSULA BOROUGH</Company>
  <LinksUpToDate>false</LinksUpToDate>
  <CharactersWithSpaces>10019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Persily, Larry</dc:creator>
  <cp:lastModifiedBy>Ed M. Kazzimir</cp:lastModifiedBy>
  <cp:revision>4</cp:revision>
  <cp:lastPrinted>2017-07-07T18:52:00Z</cp:lastPrinted>
  <dcterms:created xsi:type="dcterms:W3CDTF">2017-08-10T18:37:00Z</dcterms:created>
  <dcterms:modified xsi:type="dcterms:W3CDTF">2017-08-11T22:51:00Z</dcterms:modified>
</cp:coreProperties>
</file>