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596D9F" w14:textId="47BB1D0D" w:rsidR="00092DD4" w:rsidRPr="007E0CD4" w:rsidRDefault="003978A7" w:rsidP="00400606">
      <w:pPr>
        <w:spacing w:after="0" w:line="240" w:lineRule="auto"/>
        <w:rPr>
          <w:rFonts w:cstheme="minorHAnsi"/>
          <w:b/>
          <w:bCs/>
          <w:sz w:val="31"/>
          <w:szCs w:val="31"/>
        </w:rPr>
      </w:pPr>
      <w:r>
        <w:rPr>
          <w:rFonts w:cstheme="minorHAnsi"/>
          <w:b/>
          <w:bCs/>
          <w:sz w:val="31"/>
          <w:szCs w:val="31"/>
        </w:rPr>
        <w:t xml:space="preserve">FERC denies requests for rehearing of Alaska LNG </w:t>
      </w:r>
      <w:r w:rsidR="00FF3118">
        <w:rPr>
          <w:rFonts w:cstheme="minorHAnsi"/>
          <w:b/>
          <w:bCs/>
          <w:sz w:val="31"/>
          <w:szCs w:val="31"/>
        </w:rPr>
        <w:t>approval</w:t>
      </w:r>
    </w:p>
    <w:p w14:paraId="2345CAA8" w14:textId="77777777" w:rsidR="00092DD4" w:rsidRDefault="00092DD4" w:rsidP="00400606">
      <w:pPr>
        <w:spacing w:after="0" w:line="240" w:lineRule="auto"/>
        <w:rPr>
          <w:rFonts w:cstheme="minorHAnsi"/>
          <w:b/>
          <w:bCs/>
          <w:sz w:val="32"/>
          <w:szCs w:val="32"/>
        </w:rPr>
      </w:pPr>
    </w:p>
    <w:p w14:paraId="5193E505" w14:textId="77777777" w:rsidR="00563D4A" w:rsidRDefault="0071021B" w:rsidP="00400606">
      <w:pPr>
        <w:spacing w:after="0" w:line="240" w:lineRule="auto"/>
        <w:rPr>
          <w:rFonts w:cstheme="minorHAnsi"/>
          <w:sz w:val="24"/>
          <w:szCs w:val="24"/>
        </w:rPr>
      </w:pPr>
      <w:r w:rsidRPr="00596CCB">
        <w:rPr>
          <w:rFonts w:cstheme="minorHAnsi"/>
          <w:sz w:val="24"/>
          <w:szCs w:val="24"/>
        </w:rPr>
        <w:t xml:space="preserve">By Larry </w:t>
      </w:r>
      <w:proofErr w:type="spellStart"/>
      <w:r w:rsidRPr="00596CCB">
        <w:rPr>
          <w:rFonts w:cstheme="minorHAnsi"/>
          <w:sz w:val="24"/>
          <w:szCs w:val="24"/>
        </w:rPr>
        <w:t>Persily</w:t>
      </w:r>
      <w:proofErr w:type="spellEnd"/>
      <w:r w:rsidR="00563D4A">
        <w:rPr>
          <w:rFonts w:cstheme="minorHAnsi"/>
          <w:sz w:val="24"/>
          <w:szCs w:val="24"/>
        </w:rPr>
        <w:t xml:space="preserve"> </w:t>
      </w:r>
      <w:hyperlink r:id="rId8" w:history="1">
        <w:r w:rsidR="00092DD4" w:rsidRPr="009B65EA">
          <w:rPr>
            <w:rStyle w:val="Hyperlink"/>
            <w:rFonts w:cstheme="minorHAnsi"/>
            <w:sz w:val="24"/>
            <w:szCs w:val="24"/>
          </w:rPr>
          <w:t>paper@alaskan.com</w:t>
        </w:r>
      </w:hyperlink>
    </w:p>
    <w:p w14:paraId="193057D6" w14:textId="5FAB0ADF" w:rsidR="00092DD4" w:rsidRDefault="003978A7" w:rsidP="0040060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July 2</w:t>
      </w:r>
      <w:r w:rsidR="00010E5D">
        <w:rPr>
          <w:rFonts w:cstheme="minorHAnsi"/>
          <w:sz w:val="24"/>
          <w:szCs w:val="24"/>
        </w:rPr>
        <w:t>7</w:t>
      </w:r>
      <w:r w:rsidR="0071021B" w:rsidRPr="00596CCB">
        <w:rPr>
          <w:rFonts w:cstheme="minorHAnsi"/>
          <w:sz w:val="24"/>
          <w:szCs w:val="24"/>
        </w:rPr>
        <w:t>, 2020</w:t>
      </w:r>
    </w:p>
    <w:p w14:paraId="01DF9DD6" w14:textId="77777777" w:rsidR="00092DD4" w:rsidRDefault="00092DD4" w:rsidP="00400606">
      <w:pPr>
        <w:spacing w:after="0" w:line="240" w:lineRule="auto"/>
        <w:rPr>
          <w:rFonts w:cstheme="minorHAnsi"/>
          <w:sz w:val="24"/>
          <w:szCs w:val="24"/>
        </w:rPr>
      </w:pPr>
    </w:p>
    <w:p w14:paraId="5EE2C423" w14:textId="1EA6C49E" w:rsidR="003978A7" w:rsidRDefault="003978A7" w:rsidP="004E58D9">
      <w:pPr>
        <w:spacing w:after="0" w:line="240" w:lineRule="auto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Without comment, the Federal Energy Regulatory Commission on July 22 declined to take up </w:t>
      </w:r>
      <w:r w:rsidR="00EF7DB7">
        <w:rPr>
          <w:rFonts w:cstheme="minorHAnsi"/>
          <w:sz w:val="24"/>
          <w:szCs w:val="24"/>
        </w:rPr>
        <w:t xml:space="preserve">two </w:t>
      </w:r>
      <w:r>
        <w:rPr>
          <w:rFonts w:cstheme="minorHAnsi"/>
          <w:sz w:val="24"/>
          <w:szCs w:val="24"/>
        </w:rPr>
        <w:t>requests that it reconsider its June 6 approval of the state-sponsored Alaska LNG project.</w:t>
      </w:r>
    </w:p>
    <w:p w14:paraId="017A10FE" w14:textId="073663CD" w:rsidR="003978A7" w:rsidRDefault="000B2AB3" w:rsidP="004E58D9">
      <w:pPr>
        <w:spacing w:after="0" w:line="240" w:lineRule="auto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Under </w:t>
      </w:r>
      <w:r w:rsidR="00EF7DB7">
        <w:rPr>
          <w:rFonts w:cstheme="minorHAnsi"/>
          <w:sz w:val="24"/>
          <w:szCs w:val="24"/>
        </w:rPr>
        <w:t>federal</w:t>
      </w:r>
      <w:r>
        <w:rPr>
          <w:rFonts w:cstheme="minorHAnsi"/>
          <w:sz w:val="24"/>
          <w:szCs w:val="24"/>
        </w:rPr>
        <w:t xml:space="preserve"> law, such requests </w:t>
      </w:r>
      <w:r w:rsidR="00225632">
        <w:rPr>
          <w:rFonts w:cstheme="minorHAnsi"/>
          <w:sz w:val="24"/>
          <w:szCs w:val="24"/>
        </w:rPr>
        <w:t xml:space="preserve">for rehearing </w:t>
      </w:r>
      <w:r>
        <w:rPr>
          <w:rFonts w:cstheme="minorHAnsi"/>
          <w:sz w:val="24"/>
          <w:szCs w:val="24"/>
        </w:rPr>
        <w:t xml:space="preserve">are deemed denied if FERC declines to </w:t>
      </w:r>
      <w:r w:rsidR="00EF7DB7">
        <w:rPr>
          <w:rFonts w:cstheme="minorHAnsi"/>
          <w:sz w:val="24"/>
          <w:szCs w:val="24"/>
        </w:rPr>
        <w:t>act on</w:t>
      </w:r>
      <w:r>
        <w:rPr>
          <w:rFonts w:cstheme="minorHAnsi"/>
          <w:sz w:val="24"/>
          <w:szCs w:val="24"/>
        </w:rPr>
        <w:t xml:space="preserve"> the motion within 30 days. </w:t>
      </w:r>
      <w:r w:rsidR="0006438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T</w:t>
      </w:r>
      <w:bookmarkStart w:id="0" w:name="_GoBack"/>
      <w:bookmarkEnd w:id="0"/>
      <w:r>
        <w:rPr>
          <w:rFonts w:cstheme="minorHAnsi"/>
          <w:sz w:val="24"/>
          <w:szCs w:val="24"/>
        </w:rPr>
        <w:t xml:space="preserve">he Matanuska-Susitna Borough filed its objections to the project approval on June 19, followed on June 22 by a motion for rehearing from the Center for Biological Diversity and </w:t>
      </w:r>
      <w:proofErr w:type="spellStart"/>
      <w:r>
        <w:rPr>
          <w:rFonts w:cstheme="minorHAnsi"/>
          <w:sz w:val="24"/>
          <w:szCs w:val="24"/>
        </w:rPr>
        <w:t>Earthjustice</w:t>
      </w:r>
      <w:proofErr w:type="spellEnd"/>
      <w:r>
        <w:rPr>
          <w:rFonts w:cstheme="minorHAnsi"/>
          <w:sz w:val="24"/>
          <w:szCs w:val="24"/>
        </w:rPr>
        <w:t>.</w:t>
      </w:r>
      <w:r w:rsidR="0006438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The clock ran out July 22 without FERC acting on the requests.</w:t>
      </w:r>
    </w:p>
    <w:p w14:paraId="0EB1A182" w14:textId="36EE300C" w:rsidR="0016200C" w:rsidRPr="0016200C" w:rsidRDefault="0016200C" w:rsidP="004E58D9">
      <w:pPr>
        <w:spacing w:after="0" w:line="240" w:lineRule="auto"/>
        <w:ind w:firstLine="720"/>
        <w:rPr>
          <w:rFonts w:cstheme="minorHAnsi"/>
          <w:sz w:val="28"/>
          <w:szCs w:val="28"/>
        </w:rPr>
      </w:pPr>
      <w:r>
        <w:rPr>
          <w:rFonts w:cstheme="minorHAnsi"/>
          <w:sz w:val="24"/>
          <w:szCs w:val="24"/>
        </w:rPr>
        <w:t>“</w:t>
      </w:r>
      <w:r w:rsidRPr="0016200C">
        <w:rPr>
          <w:rFonts w:cstheme="minorHAnsi"/>
          <w:sz w:val="24"/>
          <w:szCs w:val="24"/>
        </w:rPr>
        <w:t xml:space="preserve">In the absence of </w:t>
      </w:r>
      <w:r>
        <w:rPr>
          <w:rFonts w:cstheme="minorHAnsi"/>
          <w:sz w:val="24"/>
          <w:szCs w:val="24"/>
        </w:rPr>
        <w:t>c</w:t>
      </w:r>
      <w:r w:rsidRPr="0016200C">
        <w:rPr>
          <w:rFonts w:cstheme="minorHAnsi"/>
          <w:sz w:val="24"/>
          <w:szCs w:val="24"/>
        </w:rPr>
        <w:t>ommission action on the requests for rehearing within 30 days from the date the requests were filed, the requests for rehearing (and any timely requests for rehearing filed subsequently</w:t>
      </w:r>
      <w:r>
        <w:rPr>
          <w:rFonts w:cstheme="minorHAnsi"/>
          <w:sz w:val="24"/>
          <w:szCs w:val="24"/>
        </w:rPr>
        <w:t>)</w:t>
      </w:r>
      <w:r w:rsidRPr="0016200C">
        <w:rPr>
          <w:rFonts w:cstheme="minorHAnsi"/>
          <w:sz w:val="24"/>
          <w:szCs w:val="24"/>
        </w:rPr>
        <w:t xml:space="preserve"> may be deemed denied</w:t>
      </w:r>
      <w:r>
        <w:rPr>
          <w:rFonts w:cstheme="minorHAnsi"/>
          <w:sz w:val="24"/>
          <w:szCs w:val="24"/>
        </w:rPr>
        <w:t>,” FERC said in its July 22 notice.</w:t>
      </w:r>
    </w:p>
    <w:p w14:paraId="2BD31813" w14:textId="3D4CCD2A" w:rsidR="000B2AB3" w:rsidRDefault="000B2AB3" w:rsidP="000B2AB3">
      <w:pPr>
        <w:spacing w:after="0" w:line="240" w:lineRule="auto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next step — should either the borough or the environmental groups choose — would be to challenge the FERC authorization in federal court.</w:t>
      </w:r>
    </w:p>
    <w:p w14:paraId="46679209" w14:textId="49A76E06" w:rsidR="000B2AB3" w:rsidRDefault="000B2AB3" w:rsidP="000B2AB3">
      <w:pPr>
        <w:spacing w:after="0" w:line="240" w:lineRule="auto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borough believes its property at Port </w:t>
      </w:r>
      <w:proofErr w:type="spellStart"/>
      <w:r>
        <w:rPr>
          <w:rFonts w:cstheme="minorHAnsi"/>
          <w:sz w:val="24"/>
          <w:szCs w:val="24"/>
        </w:rPr>
        <w:t>MacKenzie</w:t>
      </w:r>
      <w:proofErr w:type="spellEnd"/>
      <w:r>
        <w:rPr>
          <w:rFonts w:cstheme="minorHAnsi"/>
          <w:sz w:val="24"/>
          <w:szCs w:val="24"/>
        </w:rPr>
        <w:t>, across Knik Arm from Anchorage, would be a better location for the proposed gas liquefaction plant and marine terminal than the project’s preferred site 60 miles to the southwest in Nikiski, on the Kenai Peninsula.</w:t>
      </w:r>
    </w:p>
    <w:p w14:paraId="3734AC35" w14:textId="708A0609" w:rsidR="000B2AB3" w:rsidRDefault="000B2AB3" w:rsidP="000B2AB3">
      <w:pPr>
        <w:spacing w:after="0" w:line="240" w:lineRule="auto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environmental groups in their 142-page request for a rehearing argued that the federal environmental impact statement was deficient</w:t>
      </w:r>
      <w:r w:rsidR="00010E5D">
        <w:rPr>
          <w:rFonts w:cstheme="minorHAnsi"/>
          <w:sz w:val="24"/>
          <w:szCs w:val="24"/>
        </w:rPr>
        <w:t xml:space="preserve">, particularly in how it addressed air emissions and </w:t>
      </w:r>
      <w:r w:rsidR="0016200C">
        <w:rPr>
          <w:rFonts w:cstheme="minorHAnsi"/>
          <w:sz w:val="24"/>
          <w:szCs w:val="24"/>
        </w:rPr>
        <w:t xml:space="preserve">damage or </w:t>
      </w:r>
      <w:r w:rsidR="00225632">
        <w:rPr>
          <w:rFonts w:cstheme="minorHAnsi"/>
          <w:sz w:val="24"/>
          <w:szCs w:val="24"/>
        </w:rPr>
        <w:t xml:space="preserve">loss of </w:t>
      </w:r>
      <w:r w:rsidR="00010E5D">
        <w:rPr>
          <w:rFonts w:cstheme="minorHAnsi"/>
          <w:sz w:val="24"/>
          <w:szCs w:val="24"/>
        </w:rPr>
        <w:t>wetlands</w:t>
      </w:r>
      <w:r>
        <w:rPr>
          <w:rFonts w:cstheme="minorHAnsi"/>
          <w:sz w:val="24"/>
          <w:szCs w:val="24"/>
        </w:rPr>
        <w:t>.</w:t>
      </w:r>
    </w:p>
    <w:p w14:paraId="5A331023" w14:textId="4B882A40" w:rsidR="0023477C" w:rsidRPr="00FE0931" w:rsidRDefault="006427A3" w:rsidP="00FE0931">
      <w:pPr>
        <w:spacing w:after="0" w:line="240" w:lineRule="auto"/>
        <w:ind w:firstLine="720"/>
        <w:rPr>
          <w:rFonts w:ascii="CIDFont+F2" w:hAnsi="CIDFont+F2" w:cs="CIDFont+F2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Though </w:t>
      </w:r>
      <w:r w:rsidR="00FE0931">
        <w:rPr>
          <w:rFonts w:cstheme="minorHAnsi"/>
          <w:sz w:val="24"/>
          <w:szCs w:val="24"/>
        </w:rPr>
        <w:t>the federal agency</w:t>
      </w:r>
      <w:r>
        <w:rPr>
          <w:rFonts w:cstheme="minorHAnsi"/>
          <w:sz w:val="24"/>
          <w:szCs w:val="24"/>
        </w:rPr>
        <w:t xml:space="preserve"> had no comment in declining to act on either appeal, the Alaska </w:t>
      </w:r>
      <w:proofErr w:type="spellStart"/>
      <w:r>
        <w:rPr>
          <w:rFonts w:cstheme="minorHAnsi"/>
          <w:sz w:val="24"/>
          <w:szCs w:val="24"/>
        </w:rPr>
        <w:t>Gasline</w:t>
      </w:r>
      <w:proofErr w:type="spellEnd"/>
      <w:r>
        <w:rPr>
          <w:rFonts w:cstheme="minorHAnsi"/>
          <w:sz w:val="24"/>
          <w:szCs w:val="24"/>
        </w:rPr>
        <w:t xml:space="preserve"> Development Corp., which has been leading the venture the past four years, in a July 17 filing </w:t>
      </w:r>
      <w:r w:rsidR="00FE0931">
        <w:rPr>
          <w:rFonts w:cstheme="minorHAnsi"/>
          <w:sz w:val="24"/>
          <w:szCs w:val="24"/>
        </w:rPr>
        <w:t xml:space="preserve">with FERC </w:t>
      </w:r>
      <w:r>
        <w:rPr>
          <w:rFonts w:cstheme="minorHAnsi"/>
          <w:sz w:val="24"/>
          <w:szCs w:val="24"/>
        </w:rPr>
        <w:t>referred to the Center for Biological Diversity’s claims as “</w:t>
      </w:r>
      <w:r w:rsidR="000B2AB3">
        <w:rPr>
          <w:rFonts w:ascii="CIDFont+F2" w:hAnsi="CIDFont+F2" w:cs="CIDFont+F2"/>
          <w:sz w:val="24"/>
          <w:szCs w:val="24"/>
        </w:rPr>
        <w:t xml:space="preserve">overbroad and unsupported </w:t>
      </w:r>
      <w:r>
        <w:rPr>
          <w:rFonts w:ascii="CIDFont+F2" w:hAnsi="CIDFont+F2" w:cs="CIDFont+F2"/>
          <w:sz w:val="24"/>
          <w:szCs w:val="24"/>
        </w:rPr>
        <w:t xml:space="preserve">… </w:t>
      </w:r>
      <w:r w:rsidR="000B2AB3">
        <w:rPr>
          <w:rFonts w:ascii="CIDFont+F2" w:hAnsi="CIDFont+F2" w:cs="CIDFont+F2"/>
          <w:sz w:val="24"/>
          <w:szCs w:val="24"/>
        </w:rPr>
        <w:t xml:space="preserve">where </w:t>
      </w:r>
      <w:r>
        <w:rPr>
          <w:rFonts w:ascii="CIDFont+F2" w:hAnsi="CIDFont+F2" w:cs="CIDFont+F2"/>
          <w:sz w:val="24"/>
          <w:szCs w:val="24"/>
        </w:rPr>
        <w:t>i</w:t>
      </w:r>
      <w:r w:rsidR="000B2AB3">
        <w:rPr>
          <w:rFonts w:ascii="CIDFont+F2" w:hAnsi="CIDFont+F2" w:cs="CIDFont+F2"/>
          <w:sz w:val="24"/>
          <w:szCs w:val="24"/>
        </w:rPr>
        <w:t>ntervenors mischaracterize the record</w:t>
      </w:r>
      <w:r>
        <w:rPr>
          <w:rFonts w:ascii="CIDFont+F2" w:hAnsi="CIDFont+F2" w:cs="CIDFont+F2"/>
          <w:sz w:val="24"/>
          <w:szCs w:val="24"/>
        </w:rPr>
        <w:t xml:space="preserve"> </w:t>
      </w:r>
      <w:r w:rsidR="000B2AB3">
        <w:rPr>
          <w:rFonts w:ascii="CIDFont+F2" w:hAnsi="CIDFont+F2" w:cs="CIDFont+F2"/>
          <w:sz w:val="24"/>
          <w:szCs w:val="24"/>
        </w:rPr>
        <w:t>and/or the law.</w:t>
      </w:r>
      <w:r>
        <w:rPr>
          <w:rFonts w:ascii="CIDFont+F2" w:hAnsi="CIDFont+F2" w:cs="CIDFont+F2"/>
          <w:sz w:val="24"/>
          <w:szCs w:val="24"/>
        </w:rPr>
        <w:t>”</w:t>
      </w:r>
    </w:p>
    <w:p w14:paraId="18935A13" w14:textId="6D692934" w:rsidR="0023477C" w:rsidRDefault="00FE0931" w:rsidP="000B2AB3">
      <w:pPr>
        <w:spacing w:after="0" w:line="240" w:lineRule="auto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ab/>
      </w:r>
      <w:r w:rsidRPr="00FE0931">
        <w:rPr>
          <w:color w:val="000000"/>
          <w:sz w:val="24"/>
          <w:szCs w:val="24"/>
          <w:shd w:val="clear" w:color="auto" w:fill="FFFFFF"/>
        </w:rPr>
        <w:t>In the same filing, AGDC said the Matanuska-Susitna Borough “misconstrues facts” in its challenge to the federal decision.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="00064387"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 xml:space="preserve">The final environmental impact statement, released in March, affirmed the project team’s preferred option </w:t>
      </w:r>
      <w:r w:rsidR="00DF13A2">
        <w:rPr>
          <w:color w:val="000000"/>
          <w:sz w:val="24"/>
          <w:szCs w:val="24"/>
          <w:shd w:val="clear" w:color="auto" w:fill="FFFFFF"/>
        </w:rPr>
        <w:t>to build the LNG terminal in Nikiski.</w:t>
      </w:r>
    </w:p>
    <w:p w14:paraId="5D8A8DBD" w14:textId="6F9C8AF0" w:rsidR="00DF13A2" w:rsidRPr="00FE0931" w:rsidRDefault="00DF13A2" w:rsidP="000B2AB3">
      <w:pPr>
        <w:spacing w:after="0" w:line="240" w:lineRule="auto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ab/>
        <w:t xml:space="preserve">FERC commissioners on May 21 authorized the Alaska LNG project, adopting </w:t>
      </w:r>
      <w:r w:rsidR="00225632">
        <w:rPr>
          <w:color w:val="000000"/>
          <w:sz w:val="24"/>
          <w:szCs w:val="24"/>
          <w:shd w:val="clear" w:color="auto" w:fill="FFFFFF"/>
        </w:rPr>
        <w:t xml:space="preserve">all </w:t>
      </w:r>
      <w:r w:rsidR="0016200C">
        <w:rPr>
          <w:color w:val="000000"/>
          <w:sz w:val="24"/>
          <w:szCs w:val="24"/>
          <w:shd w:val="clear" w:color="auto" w:fill="FFFFFF"/>
        </w:rPr>
        <w:t xml:space="preserve">of </w:t>
      </w:r>
      <w:r>
        <w:rPr>
          <w:color w:val="000000"/>
          <w:sz w:val="24"/>
          <w:szCs w:val="24"/>
          <w:shd w:val="clear" w:color="auto" w:fill="FFFFFF"/>
        </w:rPr>
        <w:t xml:space="preserve">the </w:t>
      </w:r>
      <w:r w:rsidR="00225632">
        <w:rPr>
          <w:color w:val="000000"/>
          <w:sz w:val="24"/>
          <w:szCs w:val="24"/>
          <w:shd w:val="clear" w:color="auto" w:fill="FFFFFF"/>
        </w:rPr>
        <w:t xml:space="preserve">findings and </w:t>
      </w:r>
      <w:r>
        <w:rPr>
          <w:color w:val="000000"/>
          <w:sz w:val="24"/>
          <w:szCs w:val="24"/>
          <w:shd w:val="clear" w:color="auto" w:fill="FFFFFF"/>
        </w:rPr>
        <w:t>decisions in the final EIS.</w:t>
      </w:r>
    </w:p>
    <w:p w14:paraId="16CE3E5D" w14:textId="4B0A83A5" w:rsidR="000B2AB3" w:rsidRDefault="00FE0931" w:rsidP="000B2AB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225632">
        <w:rPr>
          <w:rFonts w:cstheme="minorHAnsi"/>
          <w:sz w:val="24"/>
          <w:szCs w:val="24"/>
        </w:rPr>
        <w:t>Separate from legal maneuvering by challengers to the FERC decision, t</w:t>
      </w:r>
      <w:r>
        <w:rPr>
          <w:rFonts w:cstheme="minorHAnsi"/>
          <w:sz w:val="24"/>
          <w:szCs w:val="24"/>
        </w:rPr>
        <w:t xml:space="preserve">he AGDC board is working with a new price tag for the project, estimated at $38.7 billion following a 14-month review by a third-party engineering and construction firm. </w:t>
      </w:r>
      <w:r w:rsidR="0006438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The </w:t>
      </w:r>
      <w:r w:rsidR="00225632">
        <w:rPr>
          <w:rFonts w:cstheme="minorHAnsi"/>
          <w:sz w:val="24"/>
          <w:szCs w:val="24"/>
        </w:rPr>
        <w:t>latest</w:t>
      </w:r>
      <w:r>
        <w:rPr>
          <w:rFonts w:cstheme="minorHAnsi"/>
          <w:sz w:val="24"/>
          <w:szCs w:val="24"/>
        </w:rPr>
        <w:t xml:space="preserve"> cost estimate, presented to the board June 25, </w:t>
      </w:r>
      <w:r w:rsidR="0016200C">
        <w:rPr>
          <w:rFonts w:cstheme="minorHAnsi"/>
          <w:sz w:val="24"/>
          <w:szCs w:val="24"/>
        </w:rPr>
        <w:t xml:space="preserve">is </w:t>
      </w:r>
      <w:r w:rsidR="00225632">
        <w:rPr>
          <w:rFonts w:cstheme="minorHAnsi"/>
          <w:sz w:val="24"/>
          <w:szCs w:val="24"/>
        </w:rPr>
        <w:t>down about $5 billion from the previous number</w:t>
      </w:r>
      <w:r w:rsidR="0016200C">
        <w:rPr>
          <w:rFonts w:cstheme="minorHAnsi"/>
          <w:sz w:val="24"/>
          <w:szCs w:val="24"/>
        </w:rPr>
        <w:t xml:space="preserve"> but</w:t>
      </w:r>
      <w:r w:rsidR="0022563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is still substantially </w:t>
      </w:r>
      <w:r w:rsidR="00225632">
        <w:rPr>
          <w:rFonts w:cstheme="minorHAnsi"/>
          <w:sz w:val="24"/>
          <w:szCs w:val="24"/>
        </w:rPr>
        <w:t xml:space="preserve">higher </w:t>
      </w:r>
      <w:r>
        <w:rPr>
          <w:rFonts w:cstheme="minorHAnsi"/>
          <w:sz w:val="24"/>
          <w:szCs w:val="24"/>
        </w:rPr>
        <w:t xml:space="preserve">per </w:t>
      </w:r>
      <w:proofErr w:type="spellStart"/>
      <w:r>
        <w:rPr>
          <w:rFonts w:cstheme="minorHAnsi"/>
          <w:sz w:val="24"/>
          <w:szCs w:val="24"/>
        </w:rPr>
        <w:t>tonne</w:t>
      </w:r>
      <w:proofErr w:type="spellEnd"/>
      <w:r>
        <w:rPr>
          <w:rFonts w:cstheme="minorHAnsi"/>
          <w:sz w:val="24"/>
          <w:szCs w:val="24"/>
        </w:rPr>
        <w:t xml:space="preserve"> of output capacity than most other LNG projects proposed worldwide.</w:t>
      </w:r>
    </w:p>
    <w:p w14:paraId="2E6321D6" w14:textId="296E1C47" w:rsidR="00622207" w:rsidRDefault="00FE0931" w:rsidP="00622207">
      <w:pPr>
        <w:spacing w:after="0" w:line="240" w:lineRule="auto"/>
        <w:rPr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225632">
        <w:rPr>
          <w:rFonts w:cstheme="minorHAnsi"/>
          <w:sz w:val="24"/>
          <w:szCs w:val="24"/>
        </w:rPr>
        <w:t>Multiple</w:t>
      </w:r>
      <w:r w:rsidR="00CD577B">
        <w:rPr>
          <w:rFonts w:cstheme="minorHAnsi"/>
          <w:sz w:val="24"/>
          <w:szCs w:val="24"/>
        </w:rPr>
        <w:t xml:space="preserve"> A</w:t>
      </w:r>
      <w:r>
        <w:rPr>
          <w:rFonts w:cstheme="minorHAnsi"/>
          <w:sz w:val="24"/>
          <w:szCs w:val="24"/>
        </w:rPr>
        <w:t xml:space="preserve">laska </w:t>
      </w:r>
      <w:r w:rsidR="00CD577B">
        <w:rPr>
          <w:rFonts w:cstheme="minorHAnsi"/>
          <w:sz w:val="24"/>
          <w:szCs w:val="24"/>
        </w:rPr>
        <w:t xml:space="preserve">North Slope natural gas development </w:t>
      </w:r>
      <w:r>
        <w:rPr>
          <w:rFonts w:cstheme="minorHAnsi"/>
          <w:sz w:val="24"/>
          <w:szCs w:val="24"/>
        </w:rPr>
        <w:t>project</w:t>
      </w:r>
      <w:r w:rsidR="0016200C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</w:t>
      </w:r>
      <w:r w:rsidR="00CD577B">
        <w:rPr>
          <w:rFonts w:cstheme="minorHAnsi"/>
          <w:sz w:val="24"/>
          <w:szCs w:val="24"/>
        </w:rPr>
        <w:t>ha</w:t>
      </w:r>
      <w:r w:rsidR="00225632">
        <w:rPr>
          <w:rFonts w:cstheme="minorHAnsi"/>
          <w:sz w:val="24"/>
          <w:szCs w:val="24"/>
        </w:rPr>
        <w:t>ve</w:t>
      </w:r>
      <w:r w:rsidR="00CD577B">
        <w:rPr>
          <w:rFonts w:cstheme="minorHAnsi"/>
          <w:sz w:val="24"/>
          <w:szCs w:val="24"/>
        </w:rPr>
        <w:t xml:space="preserve"> been in various proposal </w:t>
      </w:r>
      <w:r w:rsidR="00225632">
        <w:rPr>
          <w:rFonts w:cstheme="minorHAnsi"/>
          <w:sz w:val="24"/>
          <w:szCs w:val="24"/>
        </w:rPr>
        <w:t xml:space="preserve">and permitting </w:t>
      </w:r>
      <w:r w:rsidR="00CD577B">
        <w:rPr>
          <w:rFonts w:cstheme="minorHAnsi"/>
          <w:sz w:val="24"/>
          <w:szCs w:val="24"/>
        </w:rPr>
        <w:t xml:space="preserve">stages </w:t>
      </w:r>
      <w:r w:rsidR="00622207">
        <w:rPr>
          <w:rFonts w:cstheme="minorHAnsi"/>
          <w:sz w:val="24"/>
          <w:szCs w:val="24"/>
        </w:rPr>
        <w:t>for 50 years</w:t>
      </w:r>
      <w:r w:rsidR="00225632">
        <w:rPr>
          <w:rFonts w:cstheme="minorHAnsi"/>
          <w:sz w:val="24"/>
          <w:szCs w:val="24"/>
        </w:rPr>
        <w:t xml:space="preserve">, all failing to advance due to no </w:t>
      </w:r>
      <w:r w:rsidR="0016200C">
        <w:rPr>
          <w:rFonts w:cstheme="minorHAnsi"/>
          <w:sz w:val="24"/>
          <w:szCs w:val="24"/>
        </w:rPr>
        <w:t xml:space="preserve">viable </w:t>
      </w:r>
      <w:r w:rsidR="00225632">
        <w:rPr>
          <w:rFonts w:cstheme="minorHAnsi"/>
          <w:sz w:val="24"/>
          <w:szCs w:val="24"/>
        </w:rPr>
        <w:t>market for the gas or uneconomic project numbers</w:t>
      </w:r>
      <w:r w:rsidR="00622207">
        <w:rPr>
          <w:rFonts w:cstheme="minorHAnsi"/>
          <w:sz w:val="24"/>
          <w:szCs w:val="24"/>
        </w:rPr>
        <w:t xml:space="preserve">. </w:t>
      </w:r>
      <w:r w:rsidR="00064387">
        <w:rPr>
          <w:rFonts w:cstheme="minorHAnsi"/>
          <w:sz w:val="24"/>
          <w:szCs w:val="24"/>
        </w:rPr>
        <w:t xml:space="preserve"> </w:t>
      </w:r>
      <w:r w:rsidR="00622207">
        <w:rPr>
          <w:rFonts w:cstheme="minorHAnsi"/>
          <w:sz w:val="24"/>
          <w:szCs w:val="24"/>
        </w:rPr>
        <w:t xml:space="preserve">The state took over the latest LNG project in 2016 </w:t>
      </w:r>
      <w:r w:rsidR="00622207">
        <w:rPr>
          <w:rFonts w:cstheme="minorHAnsi"/>
          <w:sz w:val="24"/>
          <w:szCs w:val="24"/>
        </w:rPr>
        <w:lastRenderedPageBreak/>
        <w:t xml:space="preserve">when </w:t>
      </w:r>
      <w:r w:rsidR="00225632">
        <w:rPr>
          <w:rFonts w:cstheme="minorHAnsi"/>
          <w:sz w:val="24"/>
          <w:szCs w:val="24"/>
        </w:rPr>
        <w:t xml:space="preserve">North Slope </w:t>
      </w:r>
      <w:r w:rsidR="003978A7" w:rsidRPr="008B7CB0">
        <w:rPr>
          <w:sz w:val="24"/>
          <w:szCs w:val="24"/>
        </w:rPr>
        <w:t>oil and gas producers ExxonMobil, BP</w:t>
      </w:r>
      <w:r w:rsidR="00064387">
        <w:rPr>
          <w:sz w:val="24"/>
          <w:szCs w:val="24"/>
        </w:rPr>
        <w:t>,</w:t>
      </w:r>
      <w:r w:rsidR="003978A7" w:rsidRPr="008B7CB0">
        <w:rPr>
          <w:sz w:val="24"/>
          <w:szCs w:val="24"/>
        </w:rPr>
        <w:t xml:space="preserve"> and ConocoPhillips cited weak economics in withdrawing as participants.</w:t>
      </w:r>
    </w:p>
    <w:p w14:paraId="5F48F700" w14:textId="04A31395" w:rsidR="003978A7" w:rsidRDefault="00622207" w:rsidP="00622207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The project, as authorized by FERC, would include 62 miles of pipeline from the Point Thomson field to Prudhoe Bay, a gas treatment plant at Prudhoe to remove carbon dioxide from the gas stream for reinjection into the reservoir, </w:t>
      </w:r>
      <w:r w:rsidR="00225632">
        <w:rPr>
          <w:sz w:val="24"/>
          <w:szCs w:val="24"/>
        </w:rPr>
        <w:t xml:space="preserve">and </w:t>
      </w:r>
      <w:r>
        <w:rPr>
          <w:sz w:val="24"/>
          <w:szCs w:val="24"/>
        </w:rPr>
        <w:t>807 miles of pipeline through the state and across Cook Inlet to the liquefaction plant and marine terminal in Nikiski.</w:t>
      </w:r>
    </w:p>
    <w:p w14:paraId="782A4AD6" w14:textId="237E52FE" w:rsidR="003978A7" w:rsidRDefault="00225632" w:rsidP="00064387">
      <w:pPr>
        <w:spacing w:after="0" w:line="240" w:lineRule="auto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</w:t>
      </w:r>
      <w:r w:rsidR="00622207">
        <w:rPr>
          <w:rFonts w:cstheme="minorHAnsi"/>
          <w:sz w:val="24"/>
          <w:szCs w:val="24"/>
        </w:rPr>
        <w:t xml:space="preserve"> AGDC board is l</w:t>
      </w:r>
      <w:r w:rsidR="003978A7">
        <w:rPr>
          <w:rFonts w:cstheme="minorHAnsi"/>
          <w:sz w:val="24"/>
          <w:szCs w:val="24"/>
        </w:rPr>
        <w:t xml:space="preserve">ooking to get the state out of the role </w:t>
      </w:r>
      <w:r w:rsidR="0016200C">
        <w:rPr>
          <w:rFonts w:cstheme="minorHAnsi"/>
          <w:sz w:val="24"/>
          <w:szCs w:val="24"/>
        </w:rPr>
        <w:t>as</w:t>
      </w:r>
      <w:r w:rsidR="003978A7">
        <w:rPr>
          <w:rFonts w:cstheme="minorHAnsi"/>
          <w:sz w:val="24"/>
          <w:szCs w:val="24"/>
        </w:rPr>
        <w:t xml:space="preserve"> project leader for the </w:t>
      </w:r>
      <w:r w:rsidR="00FF3118">
        <w:rPr>
          <w:rFonts w:cstheme="minorHAnsi"/>
          <w:sz w:val="24"/>
          <w:szCs w:val="24"/>
        </w:rPr>
        <w:t xml:space="preserve">economically </w:t>
      </w:r>
      <w:r w:rsidR="003978A7">
        <w:rPr>
          <w:rFonts w:cstheme="minorHAnsi"/>
          <w:sz w:val="24"/>
          <w:szCs w:val="24"/>
        </w:rPr>
        <w:t xml:space="preserve">challenged </w:t>
      </w:r>
      <w:r w:rsidR="00FF3118">
        <w:rPr>
          <w:rFonts w:cstheme="minorHAnsi"/>
          <w:sz w:val="24"/>
          <w:szCs w:val="24"/>
        </w:rPr>
        <w:t>venture</w:t>
      </w:r>
      <w:r w:rsidR="00622207">
        <w:rPr>
          <w:rFonts w:cstheme="minorHAnsi"/>
          <w:sz w:val="24"/>
          <w:szCs w:val="24"/>
        </w:rPr>
        <w:t xml:space="preserve">. </w:t>
      </w:r>
      <w:r w:rsidR="00064387">
        <w:rPr>
          <w:rFonts w:cstheme="minorHAnsi"/>
          <w:sz w:val="24"/>
          <w:szCs w:val="24"/>
        </w:rPr>
        <w:t xml:space="preserve"> </w:t>
      </w:r>
      <w:r w:rsidR="00622207">
        <w:rPr>
          <w:rFonts w:cstheme="minorHAnsi"/>
          <w:sz w:val="24"/>
          <w:szCs w:val="24"/>
        </w:rPr>
        <w:t xml:space="preserve">The board </w:t>
      </w:r>
      <w:r w:rsidR="003978A7" w:rsidRPr="00F31EBD">
        <w:rPr>
          <w:rFonts w:cstheme="minorHAnsi"/>
          <w:sz w:val="24"/>
          <w:szCs w:val="24"/>
        </w:rPr>
        <w:t>does not support the state continuing as the sole project sponsor past Dec. 31</w:t>
      </w:r>
      <w:r w:rsidR="00622207">
        <w:rPr>
          <w:rFonts w:cstheme="minorHAnsi"/>
          <w:sz w:val="24"/>
          <w:szCs w:val="24"/>
        </w:rPr>
        <w:t xml:space="preserve">, and plans </w:t>
      </w:r>
      <w:r w:rsidR="004F19D3">
        <w:rPr>
          <w:rFonts w:cstheme="minorHAnsi"/>
          <w:sz w:val="24"/>
          <w:szCs w:val="24"/>
        </w:rPr>
        <w:t xml:space="preserve">to </w:t>
      </w:r>
      <w:r w:rsidR="00622207">
        <w:rPr>
          <w:rFonts w:cstheme="minorHAnsi"/>
          <w:sz w:val="24"/>
          <w:szCs w:val="24"/>
        </w:rPr>
        <w:t>“</w:t>
      </w:r>
      <w:r w:rsidR="00622207" w:rsidRPr="00F31EBD">
        <w:rPr>
          <w:rFonts w:cstheme="minorHAnsi"/>
          <w:sz w:val="24"/>
          <w:szCs w:val="24"/>
        </w:rPr>
        <w:t>put the Alaska LNG project assets up for sale” in a formal bidding process</w:t>
      </w:r>
      <w:r w:rsidR="004F19D3">
        <w:rPr>
          <w:rFonts w:cstheme="minorHAnsi"/>
          <w:sz w:val="24"/>
          <w:szCs w:val="24"/>
        </w:rPr>
        <w:t xml:space="preserve"> if no one steps up to take over as lead developer.</w:t>
      </w:r>
    </w:p>
    <w:sectPr w:rsidR="003978A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BB33F9" w14:textId="77777777" w:rsidR="00BD6043" w:rsidRDefault="00BD6043" w:rsidP="006207B8">
      <w:pPr>
        <w:spacing w:after="0" w:line="240" w:lineRule="auto"/>
      </w:pPr>
      <w:r>
        <w:separator/>
      </w:r>
    </w:p>
  </w:endnote>
  <w:endnote w:type="continuationSeparator" w:id="0">
    <w:p w14:paraId="2BDC518B" w14:textId="77777777" w:rsidR="00BD6043" w:rsidRDefault="00BD6043" w:rsidP="00620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873272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B834C54" w14:textId="18FF5BA7" w:rsidR="00064387" w:rsidRDefault="00064387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366FAD1" w14:textId="77777777" w:rsidR="006207B8" w:rsidRDefault="006207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E9DC9A" w14:textId="77777777" w:rsidR="00BD6043" w:rsidRDefault="00BD6043" w:rsidP="006207B8">
      <w:pPr>
        <w:spacing w:after="0" w:line="240" w:lineRule="auto"/>
      </w:pPr>
      <w:r>
        <w:separator/>
      </w:r>
    </w:p>
  </w:footnote>
  <w:footnote w:type="continuationSeparator" w:id="0">
    <w:p w14:paraId="20FD78E8" w14:textId="77777777" w:rsidR="00BD6043" w:rsidRDefault="00BD6043" w:rsidP="006207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52BF2"/>
    <w:multiLevelType w:val="hybridMultilevel"/>
    <w:tmpl w:val="5D12D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93745"/>
    <w:multiLevelType w:val="hybridMultilevel"/>
    <w:tmpl w:val="28D27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A25"/>
    <w:rsid w:val="00000DB1"/>
    <w:rsid w:val="00010E5D"/>
    <w:rsid w:val="00016785"/>
    <w:rsid w:val="00051276"/>
    <w:rsid w:val="00064387"/>
    <w:rsid w:val="00070FAD"/>
    <w:rsid w:val="00092DD4"/>
    <w:rsid w:val="00094134"/>
    <w:rsid w:val="000B2AB3"/>
    <w:rsid w:val="000C4990"/>
    <w:rsid w:val="000C7EF6"/>
    <w:rsid w:val="000D311E"/>
    <w:rsid w:val="000D4AC8"/>
    <w:rsid w:val="000E2564"/>
    <w:rsid w:val="00106832"/>
    <w:rsid w:val="00115975"/>
    <w:rsid w:val="0012266E"/>
    <w:rsid w:val="00134286"/>
    <w:rsid w:val="0016200C"/>
    <w:rsid w:val="00185FE4"/>
    <w:rsid w:val="00190DC6"/>
    <w:rsid w:val="001A3B68"/>
    <w:rsid w:val="001D3C37"/>
    <w:rsid w:val="001E2624"/>
    <w:rsid w:val="001E279C"/>
    <w:rsid w:val="00200A01"/>
    <w:rsid w:val="00225632"/>
    <w:rsid w:val="00226E6A"/>
    <w:rsid w:val="00230176"/>
    <w:rsid w:val="0023477C"/>
    <w:rsid w:val="00237441"/>
    <w:rsid w:val="0026409B"/>
    <w:rsid w:val="0026714C"/>
    <w:rsid w:val="00286110"/>
    <w:rsid w:val="002A07F2"/>
    <w:rsid w:val="002D7DAD"/>
    <w:rsid w:val="002E0111"/>
    <w:rsid w:val="002E3A25"/>
    <w:rsid w:val="00307F14"/>
    <w:rsid w:val="00357D80"/>
    <w:rsid w:val="00366ABD"/>
    <w:rsid w:val="0039329D"/>
    <w:rsid w:val="003978A7"/>
    <w:rsid w:val="003A5AA7"/>
    <w:rsid w:val="003C4BCC"/>
    <w:rsid w:val="00400606"/>
    <w:rsid w:val="00404429"/>
    <w:rsid w:val="004272E0"/>
    <w:rsid w:val="00442A3D"/>
    <w:rsid w:val="00446576"/>
    <w:rsid w:val="00463B5E"/>
    <w:rsid w:val="004E2A9B"/>
    <w:rsid w:val="004E37BD"/>
    <w:rsid w:val="004E58D9"/>
    <w:rsid w:val="004F19D3"/>
    <w:rsid w:val="004F6863"/>
    <w:rsid w:val="00502A23"/>
    <w:rsid w:val="00505506"/>
    <w:rsid w:val="00550D18"/>
    <w:rsid w:val="005549B2"/>
    <w:rsid w:val="00563D4A"/>
    <w:rsid w:val="005841A1"/>
    <w:rsid w:val="00586DD1"/>
    <w:rsid w:val="005903D1"/>
    <w:rsid w:val="00593611"/>
    <w:rsid w:val="0059407D"/>
    <w:rsid w:val="00595D4E"/>
    <w:rsid w:val="00595FA2"/>
    <w:rsid w:val="00596CCB"/>
    <w:rsid w:val="005D7441"/>
    <w:rsid w:val="00607A6F"/>
    <w:rsid w:val="00607DA3"/>
    <w:rsid w:val="0061373F"/>
    <w:rsid w:val="006166FC"/>
    <w:rsid w:val="006207B8"/>
    <w:rsid w:val="00622207"/>
    <w:rsid w:val="00632A77"/>
    <w:rsid w:val="00633A67"/>
    <w:rsid w:val="006427A3"/>
    <w:rsid w:val="00643773"/>
    <w:rsid w:val="00645401"/>
    <w:rsid w:val="006652FC"/>
    <w:rsid w:val="00672293"/>
    <w:rsid w:val="006A41E0"/>
    <w:rsid w:val="006A4BC3"/>
    <w:rsid w:val="006B20A0"/>
    <w:rsid w:val="006C7347"/>
    <w:rsid w:val="006D1DCB"/>
    <w:rsid w:val="006F167B"/>
    <w:rsid w:val="006F68D4"/>
    <w:rsid w:val="007011F1"/>
    <w:rsid w:val="0070540A"/>
    <w:rsid w:val="0070732B"/>
    <w:rsid w:val="0071021B"/>
    <w:rsid w:val="007131ED"/>
    <w:rsid w:val="007135E0"/>
    <w:rsid w:val="00727A25"/>
    <w:rsid w:val="00751474"/>
    <w:rsid w:val="00763C2F"/>
    <w:rsid w:val="00770F5A"/>
    <w:rsid w:val="007733C4"/>
    <w:rsid w:val="00784504"/>
    <w:rsid w:val="00797CF7"/>
    <w:rsid w:val="007A04B2"/>
    <w:rsid w:val="007E0CD4"/>
    <w:rsid w:val="007F6472"/>
    <w:rsid w:val="00806457"/>
    <w:rsid w:val="00817BB8"/>
    <w:rsid w:val="00826002"/>
    <w:rsid w:val="00854FA3"/>
    <w:rsid w:val="00860873"/>
    <w:rsid w:val="008631C2"/>
    <w:rsid w:val="00872506"/>
    <w:rsid w:val="00877695"/>
    <w:rsid w:val="008B7CB0"/>
    <w:rsid w:val="008C42E7"/>
    <w:rsid w:val="008D40EA"/>
    <w:rsid w:val="00922D89"/>
    <w:rsid w:val="009C293E"/>
    <w:rsid w:val="009F2F87"/>
    <w:rsid w:val="00A3395A"/>
    <w:rsid w:val="00A438B9"/>
    <w:rsid w:val="00A445A3"/>
    <w:rsid w:val="00A558DD"/>
    <w:rsid w:val="00A81E89"/>
    <w:rsid w:val="00AB18B9"/>
    <w:rsid w:val="00AB6347"/>
    <w:rsid w:val="00AD40B0"/>
    <w:rsid w:val="00AE00AF"/>
    <w:rsid w:val="00AE1ABF"/>
    <w:rsid w:val="00AE6E2A"/>
    <w:rsid w:val="00B05447"/>
    <w:rsid w:val="00B32CEB"/>
    <w:rsid w:val="00B44437"/>
    <w:rsid w:val="00BB3041"/>
    <w:rsid w:val="00BC340A"/>
    <w:rsid w:val="00BD6043"/>
    <w:rsid w:val="00BD653C"/>
    <w:rsid w:val="00BF4D60"/>
    <w:rsid w:val="00C13630"/>
    <w:rsid w:val="00C148F8"/>
    <w:rsid w:val="00C15162"/>
    <w:rsid w:val="00C31898"/>
    <w:rsid w:val="00CA29E1"/>
    <w:rsid w:val="00CB1BBB"/>
    <w:rsid w:val="00CC0727"/>
    <w:rsid w:val="00CD577B"/>
    <w:rsid w:val="00D10C4D"/>
    <w:rsid w:val="00D17ED7"/>
    <w:rsid w:val="00D53F69"/>
    <w:rsid w:val="00D6465D"/>
    <w:rsid w:val="00D80EB1"/>
    <w:rsid w:val="00D84E10"/>
    <w:rsid w:val="00D947D2"/>
    <w:rsid w:val="00DA2B02"/>
    <w:rsid w:val="00DE05AB"/>
    <w:rsid w:val="00DF13A2"/>
    <w:rsid w:val="00DF4475"/>
    <w:rsid w:val="00E0189A"/>
    <w:rsid w:val="00E078A8"/>
    <w:rsid w:val="00E2634B"/>
    <w:rsid w:val="00E55398"/>
    <w:rsid w:val="00E652DA"/>
    <w:rsid w:val="00E656E6"/>
    <w:rsid w:val="00E768AE"/>
    <w:rsid w:val="00E91410"/>
    <w:rsid w:val="00EA68A9"/>
    <w:rsid w:val="00EB0AC6"/>
    <w:rsid w:val="00EF432A"/>
    <w:rsid w:val="00EF612E"/>
    <w:rsid w:val="00EF7D1B"/>
    <w:rsid w:val="00EF7DB7"/>
    <w:rsid w:val="00F111FE"/>
    <w:rsid w:val="00F1248C"/>
    <w:rsid w:val="00F12D89"/>
    <w:rsid w:val="00F7318A"/>
    <w:rsid w:val="00F77740"/>
    <w:rsid w:val="00FB1797"/>
    <w:rsid w:val="00FB460B"/>
    <w:rsid w:val="00FD1BB2"/>
    <w:rsid w:val="00FE0931"/>
    <w:rsid w:val="00FE5336"/>
    <w:rsid w:val="00FF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FC201"/>
  <w15:chartTrackingRefBased/>
  <w15:docId w15:val="{5F326717-9193-460F-A2CA-D6FF4DDE6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2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021B"/>
    <w:rPr>
      <w:color w:val="0563C1" w:themeColor="hyperlink"/>
      <w:u w:val="single"/>
    </w:rPr>
  </w:style>
  <w:style w:type="paragraph" w:styleId="ListParagraph">
    <w:name w:val="List Paragraph"/>
    <w:basedOn w:val="Normal"/>
    <w:link w:val="ListParagraphChar"/>
    <w:uiPriority w:val="1"/>
    <w:qFormat/>
    <w:rsid w:val="00CA29E1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1"/>
    <w:locked/>
    <w:rsid w:val="00CA29E1"/>
  </w:style>
  <w:style w:type="paragraph" w:styleId="NormalWeb">
    <w:name w:val="Normal (Web)"/>
    <w:basedOn w:val="Normal"/>
    <w:uiPriority w:val="99"/>
    <w:semiHidden/>
    <w:unhideWhenUsed/>
    <w:rsid w:val="007A0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F68D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A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AB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207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7B8"/>
  </w:style>
  <w:style w:type="paragraph" w:styleId="Footer">
    <w:name w:val="footer"/>
    <w:basedOn w:val="Normal"/>
    <w:link w:val="FooterChar"/>
    <w:uiPriority w:val="99"/>
    <w:unhideWhenUsed/>
    <w:rsid w:val="006207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7B8"/>
  </w:style>
  <w:style w:type="character" w:customStyle="1" w:styleId="UnresolvedMention">
    <w:name w:val="Unresolved Mention"/>
    <w:basedOn w:val="DefaultParagraphFont"/>
    <w:uiPriority w:val="99"/>
    <w:semiHidden/>
    <w:unhideWhenUsed/>
    <w:rsid w:val="00092D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9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4999">
          <w:marLeft w:val="2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7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16777">
          <w:marLeft w:val="2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16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per@alaska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B41E2-9042-4DF8-AF9A-4E43E9573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Persily</dc:creator>
  <cp:keywords/>
  <dc:description/>
  <cp:lastModifiedBy>Ed M. Kazzimir</cp:lastModifiedBy>
  <cp:revision>15</cp:revision>
  <dcterms:created xsi:type="dcterms:W3CDTF">2020-07-23T03:24:00Z</dcterms:created>
  <dcterms:modified xsi:type="dcterms:W3CDTF">2020-07-27T23:02:00Z</dcterms:modified>
</cp:coreProperties>
</file>