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B44FF" w14:textId="22BE6567" w:rsidR="00155A01" w:rsidRPr="00FD2D51" w:rsidRDefault="00841D74" w:rsidP="008D20FC">
      <w:pPr>
        <w:spacing w:after="0" w:line="240" w:lineRule="auto"/>
        <w:rPr>
          <w:b/>
          <w:sz w:val="32"/>
          <w:szCs w:val="24"/>
        </w:rPr>
      </w:pPr>
      <w:r w:rsidRPr="00FD2D51">
        <w:rPr>
          <w:b/>
          <w:sz w:val="32"/>
          <w:szCs w:val="24"/>
        </w:rPr>
        <w:t>State</w:t>
      </w:r>
      <w:r w:rsidR="00BF7E4E" w:rsidRPr="00FD2D51">
        <w:rPr>
          <w:b/>
          <w:sz w:val="32"/>
          <w:szCs w:val="24"/>
        </w:rPr>
        <w:t xml:space="preserve"> </w:t>
      </w:r>
      <w:r w:rsidR="00BB324E" w:rsidRPr="00FD2D51">
        <w:rPr>
          <w:b/>
          <w:sz w:val="32"/>
          <w:szCs w:val="24"/>
        </w:rPr>
        <w:t>answers FERC questions about Cook Inlet pipeline crossing</w:t>
      </w:r>
    </w:p>
    <w:p w14:paraId="6A1D9040" w14:textId="77777777" w:rsidR="00FD4D72" w:rsidRPr="00FD2D51" w:rsidRDefault="00FD4D72" w:rsidP="008D20FC">
      <w:pPr>
        <w:spacing w:after="0" w:line="240" w:lineRule="auto"/>
        <w:rPr>
          <w:sz w:val="24"/>
          <w:szCs w:val="24"/>
        </w:rPr>
      </w:pPr>
    </w:p>
    <w:p w14:paraId="706ED605" w14:textId="7FF27BFE" w:rsidR="00EA1A43" w:rsidRPr="00FD2D51" w:rsidRDefault="00EA1A43" w:rsidP="008D20FC">
      <w:pPr>
        <w:spacing w:after="0" w:line="240" w:lineRule="auto"/>
        <w:rPr>
          <w:sz w:val="24"/>
          <w:szCs w:val="24"/>
        </w:rPr>
      </w:pPr>
      <w:r w:rsidRPr="00FD2D51">
        <w:rPr>
          <w:sz w:val="24"/>
          <w:szCs w:val="24"/>
        </w:rPr>
        <w:t>By</w:t>
      </w:r>
      <w:r w:rsidR="00073423" w:rsidRPr="00FD2D51">
        <w:rPr>
          <w:sz w:val="24"/>
          <w:szCs w:val="24"/>
        </w:rPr>
        <w:t xml:space="preserve"> </w:t>
      </w:r>
      <w:r w:rsidRPr="00FD2D51">
        <w:rPr>
          <w:sz w:val="24"/>
          <w:szCs w:val="24"/>
        </w:rPr>
        <w:t>Larry</w:t>
      </w:r>
      <w:r w:rsidR="00073423" w:rsidRPr="00FD2D51">
        <w:rPr>
          <w:sz w:val="24"/>
          <w:szCs w:val="24"/>
        </w:rPr>
        <w:t xml:space="preserve"> </w:t>
      </w:r>
      <w:r w:rsidRPr="00FD2D51">
        <w:rPr>
          <w:sz w:val="24"/>
          <w:szCs w:val="24"/>
        </w:rPr>
        <w:t>Persily</w:t>
      </w:r>
      <w:r w:rsidR="00073423" w:rsidRPr="00FD2D51">
        <w:rPr>
          <w:sz w:val="24"/>
          <w:szCs w:val="24"/>
        </w:rPr>
        <w:t xml:space="preserve"> </w:t>
      </w:r>
      <w:hyperlink r:id="rId8" w:history="1">
        <w:r w:rsidRPr="00FD2D51">
          <w:rPr>
            <w:sz w:val="24"/>
            <w:szCs w:val="24"/>
            <w:u w:val="single"/>
          </w:rPr>
          <w:t>paper@alaskan.com</w:t>
        </w:r>
      </w:hyperlink>
    </w:p>
    <w:p w14:paraId="6715740D" w14:textId="02AD0ACE" w:rsidR="00EA1A43" w:rsidRPr="00FD2D51" w:rsidRDefault="00A1598A" w:rsidP="008D20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842BD4">
        <w:rPr>
          <w:sz w:val="24"/>
          <w:szCs w:val="24"/>
        </w:rPr>
        <w:t>4</w:t>
      </w:r>
      <w:r w:rsidR="00070AC4" w:rsidRPr="00FD2D51">
        <w:rPr>
          <w:sz w:val="24"/>
          <w:szCs w:val="24"/>
        </w:rPr>
        <w:t>,</w:t>
      </w:r>
      <w:r w:rsidR="00073423" w:rsidRPr="00FD2D51">
        <w:rPr>
          <w:sz w:val="24"/>
          <w:szCs w:val="24"/>
        </w:rPr>
        <w:t xml:space="preserve"> </w:t>
      </w:r>
      <w:r w:rsidR="00DD3BC4" w:rsidRPr="00FD2D51">
        <w:rPr>
          <w:sz w:val="24"/>
          <w:szCs w:val="24"/>
        </w:rPr>
        <w:t>2019</w:t>
      </w:r>
    </w:p>
    <w:p w14:paraId="47F692CC" w14:textId="4B292FDC" w:rsidR="003527AC" w:rsidRPr="00FD2D51" w:rsidRDefault="003527AC" w:rsidP="008D20FC">
      <w:pPr>
        <w:spacing w:after="0" w:line="240" w:lineRule="auto"/>
        <w:rPr>
          <w:sz w:val="24"/>
          <w:szCs w:val="24"/>
        </w:rPr>
      </w:pPr>
    </w:p>
    <w:p w14:paraId="3F116748" w14:textId="0F078FA4" w:rsidR="00B5397B" w:rsidRDefault="00856335" w:rsidP="004721F7">
      <w:pPr>
        <w:spacing w:after="0" w:line="240" w:lineRule="auto"/>
        <w:rPr>
          <w:sz w:val="24"/>
          <w:szCs w:val="24"/>
        </w:rPr>
      </w:pPr>
      <w:r w:rsidRPr="00FD2D51">
        <w:rPr>
          <w:sz w:val="24"/>
          <w:szCs w:val="24"/>
        </w:rPr>
        <w:tab/>
        <w:t xml:space="preserve">The </w:t>
      </w:r>
      <w:r w:rsidR="00AE75AA" w:rsidRPr="00FD2D51">
        <w:rPr>
          <w:sz w:val="24"/>
          <w:szCs w:val="24"/>
        </w:rPr>
        <w:t>state</w:t>
      </w:r>
      <w:r w:rsidR="008D7567">
        <w:rPr>
          <w:sz w:val="24"/>
          <w:szCs w:val="24"/>
        </w:rPr>
        <w:t>-led gas line development</w:t>
      </w:r>
      <w:r w:rsidR="008C4B97">
        <w:rPr>
          <w:sz w:val="24"/>
          <w:szCs w:val="24"/>
        </w:rPr>
        <w:t xml:space="preserve"> team </w:t>
      </w:r>
      <w:r w:rsidR="00144D0B">
        <w:rPr>
          <w:sz w:val="24"/>
          <w:szCs w:val="24"/>
        </w:rPr>
        <w:t xml:space="preserve">has </w:t>
      </w:r>
      <w:r w:rsidR="00B5397B">
        <w:rPr>
          <w:sz w:val="24"/>
          <w:szCs w:val="24"/>
        </w:rPr>
        <w:t>told</w:t>
      </w:r>
      <w:r w:rsidR="00AE75AA" w:rsidRPr="00FD2D51">
        <w:rPr>
          <w:sz w:val="24"/>
          <w:szCs w:val="24"/>
        </w:rPr>
        <w:t xml:space="preserve"> </w:t>
      </w:r>
      <w:r w:rsidR="002A1426" w:rsidRPr="00FD2D51">
        <w:rPr>
          <w:sz w:val="24"/>
          <w:szCs w:val="24"/>
        </w:rPr>
        <w:t>federal regulators</w:t>
      </w:r>
      <w:r w:rsidR="00B5397B">
        <w:rPr>
          <w:sz w:val="24"/>
          <w:szCs w:val="24"/>
        </w:rPr>
        <w:t xml:space="preserve"> it is confident th</w:t>
      </w:r>
      <w:r w:rsidR="00D62440">
        <w:rPr>
          <w:sz w:val="24"/>
          <w:szCs w:val="24"/>
        </w:rPr>
        <w:t xml:space="preserve">e </w:t>
      </w:r>
      <w:r w:rsidR="0037651D">
        <w:rPr>
          <w:sz w:val="24"/>
          <w:szCs w:val="24"/>
        </w:rPr>
        <w:t>Alaska LNG project’s</w:t>
      </w:r>
      <w:r w:rsidR="00B5397B">
        <w:rPr>
          <w:sz w:val="24"/>
          <w:szCs w:val="24"/>
        </w:rPr>
        <w:t xml:space="preserve"> steel pipeline could withstand </w:t>
      </w:r>
      <w:r w:rsidR="005D321D">
        <w:rPr>
          <w:sz w:val="24"/>
          <w:szCs w:val="24"/>
        </w:rPr>
        <w:t>Cook Inlet’s</w:t>
      </w:r>
      <w:r w:rsidR="00B5397B">
        <w:rPr>
          <w:sz w:val="24"/>
          <w:szCs w:val="24"/>
        </w:rPr>
        <w:t xml:space="preserve"> strong currents, shifting seabed and traveling boulders along the </w:t>
      </w:r>
      <w:r w:rsidR="0037651D">
        <w:rPr>
          <w:sz w:val="24"/>
          <w:szCs w:val="24"/>
        </w:rPr>
        <w:t xml:space="preserve">29-mile underwater </w:t>
      </w:r>
      <w:r w:rsidR="00B5397B">
        <w:rPr>
          <w:sz w:val="24"/>
          <w:szCs w:val="24"/>
        </w:rPr>
        <w:t>route to the gas liquefaction plant in Nikiski on the Kenai Peninsula.</w:t>
      </w:r>
    </w:p>
    <w:p w14:paraId="1CEA90BB" w14:textId="77777777" w:rsidR="00445326" w:rsidRDefault="002A1426" w:rsidP="00445326">
      <w:pPr>
        <w:spacing w:after="0" w:line="240" w:lineRule="auto"/>
        <w:rPr>
          <w:sz w:val="24"/>
          <w:szCs w:val="24"/>
        </w:rPr>
      </w:pPr>
      <w:r w:rsidRPr="00FD2D51">
        <w:rPr>
          <w:sz w:val="24"/>
          <w:szCs w:val="24"/>
        </w:rPr>
        <w:tab/>
      </w:r>
      <w:r w:rsidR="005D321D">
        <w:rPr>
          <w:sz w:val="24"/>
          <w:szCs w:val="24"/>
        </w:rPr>
        <w:t xml:space="preserve">The water-crossing </w:t>
      </w:r>
      <w:r w:rsidR="008B42D2">
        <w:rPr>
          <w:sz w:val="24"/>
          <w:szCs w:val="24"/>
        </w:rPr>
        <w:t>information is</w:t>
      </w:r>
      <w:r w:rsidR="005D321D">
        <w:rPr>
          <w:sz w:val="24"/>
          <w:szCs w:val="24"/>
        </w:rPr>
        <w:t xml:space="preserve"> </w:t>
      </w:r>
      <w:r w:rsidR="002248D2">
        <w:rPr>
          <w:sz w:val="24"/>
          <w:szCs w:val="24"/>
        </w:rPr>
        <w:t xml:space="preserve">among the remaining batches of </w:t>
      </w:r>
      <w:r w:rsidR="008B42D2">
        <w:rPr>
          <w:sz w:val="24"/>
          <w:szCs w:val="24"/>
        </w:rPr>
        <w:t>answers</w:t>
      </w:r>
      <w:r w:rsidR="008D7567">
        <w:rPr>
          <w:sz w:val="24"/>
          <w:szCs w:val="24"/>
        </w:rPr>
        <w:t xml:space="preserve"> the Alaska Gasline Development Corp. (AGDC) owes to the Federal Energy Regulatory Commission (FERC), which is scheduled </w:t>
      </w:r>
      <w:r w:rsidR="008B42D2">
        <w:rPr>
          <w:sz w:val="24"/>
          <w:szCs w:val="24"/>
        </w:rPr>
        <w:t xml:space="preserve">to publish </w:t>
      </w:r>
      <w:r w:rsidR="008D7567">
        <w:rPr>
          <w:sz w:val="24"/>
          <w:szCs w:val="24"/>
        </w:rPr>
        <w:t xml:space="preserve">sometime this month its draft environmental impact statement for the </w:t>
      </w:r>
      <w:r w:rsidR="000D5F71">
        <w:rPr>
          <w:sz w:val="24"/>
          <w:szCs w:val="24"/>
        </w:rPr>
        <w:t xml:space="preserve">proposed $43 billion </w:t>
      </w:r>
      <w:r w:rsidR="008D7567">
        <w:rPr>
          <w:sz w:val="24"/>
          <w:szCs w:val="24"/>
        </w:rPr>
        <w:t>project</w:t>
      </w:r>
      <w:r w:rsidR="000D5F71">
        <w:rPr>
          <w:sz w:val="24"/>
          <w:szCs w:val="24"/>
        </w:rPr>
        <w:t xml:space="preserve"> to pipe North Slope gas to the LNG terminal for export</w:t>
      </w:r>
      <w:r w:rsidR="00445326">
        <w:rPr>
          <w:sz w:val="24"/>
          <w:szCs w:val="24"/>
        </w:rPr>
        <w:t>.</w:t>
      </w:r>
    </w:p>
    <w:p w14:paraId="26B47B37" w14:textId="6B5E54DD" w:rsidR="008D7567" w:rsidRDefault="008D7567" w:rsidP="0044532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Federal regulators last October asked the state team for more information on the Cook Inlet pipeline crossing, including how the current</w:t>
      </w:r>
      <w:r w:rsidR="004E3F1E">
        <w:rPr>
          <w:sz w:val="24"/>
          <w:szCs w:val="24"/>
        </w:rPr>
        <w:t>s</w:t>
      </w:r>
      <w:r>
        <w:rPr>
          <w:sz w:val="24"/>
          <w:szCs w:val="24"/>
        </w:rPr>
        <w:t xml:space="preserve"> could affect the line’s stability on the seafloor and how the high-pressure steel pipe would be protected against boulders.</w:t>
      </w:r>
    </w:p>
    <w:p w14:paraId="1EC3B120" w14:textId="162114AB" w:rsidR="00B5397B" w:rsidRDefault="00FD2D51" w:rsidP="008D756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 strong tidal currents of Cook Inlet could potentially move debris and boulders across the pipeline,” AGDC </w:t>
      </w:r>
      <w:r w:rsidR="00B5397B">
        <w:rPr>
          <w:sz w:val="24"/>
          <w:szCs w:val="24"/>
        </w:rPr>
        <w:t xml:space="preserve">reported in </w:t>
      </w:r>
      <w:r w:rsidR="008D7567">
        <w:rPr>
          <w:sz w:val="24"/>
          <w:szCs w:val="24"/>
        </w:rPr>
        <w:t>a May 24</w:t>
      </w:r>
      <w:r w:rsidR="00B5397B">
        <w:rPr>
          <w:sz w:val="24"/>
          <w:szCs w:val="24"/>
        </w:rPr>
        <w:t xml:space="preserve"> filing with </w:t>
      </w:r>
      <w:r w:rsidR="008D7567">
        <w:rPr>
          <w:sz w:val="24"/>
          <w:szCs w:val="24"/>
        </w:rPr>
        <w:t>FERC</w:t>
      </w:r>
      <w:r w:rsidR="00B5397B">
        <w:rPr>
          <w:sz w:val="24"/>
          <w:szCs w:val="24"/>
        </w:rPr>
        <w:t>.</w:t>
      </w:r>
      <w:r w:rsidR="008D7567">
        <w:rPr>
          <w:sz w:val="24"/>
          <w:szCs w:val="24"/>
        </w:rPr>
        <w:t xml:space="preserve"> </w:t>
      </w:r>
      <w:r w:rsidR="00253AB0">
        <w:rPr>
          <w:sz w:val="24"/>
          <w:szCs w:val="24"/>
        </w:rPr>
        <w:t xml:space="preserve"> </w:t>
      </w:r>
      <w:r w:rsidR="00D62440">
        <w:rPr>
          <w:sz w:val="24"/>
          <w:szCs w:val="24"/>
        </w:rPr>
        <w:t xml:space="preserve">The project team analyzed what would happen if boulders as </w:t>
      </w:r>
      <w:r w:rsidR="008D7567">
        <w:rPr>
          <w:sz w:val="24"/>
          <w:szCs w:val="24"/>
        </w:rPr>
        <w:t>large</w:t>
      </w:r>
      <w:r w:rsidR="00D62440">
        <w:rPr>
          <w:sz w:val="24"/>
          <w:szCs w:val="24"/>
        </w:rPr>
        <w:t xml:space="preserve"> as 10 tonnes (22,000 pounds) fell on the </w:t>
      </w:r>
      <w:r w:rsidR="00FD5144">
        <w:rPr>
          <w:sz w:val="24"/>
          <w:szCs w:val="24"/>
        </w:rPr>
        <w:t xml:space="preserve">42-inch-diameter </w:t>
      </w:r>
      <w:r w:rsidR="00D62440">
        <w:rPr>
          <w:sz w:val="24"/>
          <w:szCs w:val="24"/>
        </w:rPr>
        <w:t xml:space="preserve">pipeline, which would be laid — not buried — on the seabed floor. </w:t>
      </w:r>
      <w:r w:rsidR="00253AB0">
        <w:rPr>
          <w:sz w:val="24"/>
          <w:szCs w:val="24"/>
        </w:rPr>
        <w:t xml:space="preserve"> </w:t>
      </w:r>
      <w:r w:rsidR="00D62440">
        <w:rPr>
          <w:sz w:val="24"/>
          <w:szCs w:val="24"/>
        </w:rPr>
        <w:t>The analysis also looked at the risk of 15-tonne boulders “traveling at the maximum identified Cook Inlet bottom current velocity of 4.8 knots.”</w:t>
      </w:r>
    </w:p>
    <w:p w14:paraId="41007E45" w14:textId="0E22B1FA" w:rsidR="00DF5A58" w:rsidRDefault="008D7567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B42D2">
        <w:rPr>
          <w:sz w:val="24"/>
          <w:szCs w:val="24"/>
        </w:rPr>
        <w:t>The analysis showed t</w:t>
      </w:r>
      <w:r w:rsidR="00DF5A58">
        <w:rPr>
          <w:sz w:val="24"/>
          <w:szCs w:val="24"/>
        </w:rPr>
        <w:t xml:space="preserve">hat any </w:t>
      </w:r>
      <w:r w:rsidR="008B42D2">
        <w:rPr>
          <w:sz w:val="24"/>
          <w:szCs w:val="24"/>
        </w:rPr>
        <w:t>hits</w:t>
      </w:r>
      <w:r w:rsidR="00DF5A58">
        <w:rPr>
          <w:sz w:val="24"/>
          <w:szCs w:val="24"/>
        </w:rPr>
        <w:t xml:space="preserve"> by boulders of the size modeled “can be easily absorbed by the pipeline steel alone,” AGDC told FERC. </w:t>
      </w:r>
      <w:r w:rsidR="00253AB0">
        <w:rPr>
          <w:sz w:val="24"/>
          <w:szCs w:val="24"/>
        </w:rPr>
        <w:t xml:space="preserve"> </w:t>
      </w:r>
      <w:r w:rsidR="00DF5A58">
        <w:rPr>
          <w:sz w:val="24"/>
          <w:szCs w:val="24"/>
        </w:rPr>
        <w:t xml:space="preserve">For additional protection, the 1.25-inch-thick steel pipe </w:t>
      </w:r>
      <w:r w:rsidR="00144D0B">
        <w:rPr>
          <w:sz w:val="24"/>
          <w:szCs w:val="24"/>
        </w:rPr>
        <w:t>would</w:t>
      </w:r>
      <w:r w:rsidR="00DF5A58">
        <w:rPr>
          <w:sz w:val="24"/>
          <w:szCs w:val="24"/>
        </w:rPr>
        <w:t xml:space="preserve"> be coated with 3.5 inches of concrete before the lengths are welded together and lowered to </w:t>
      </w:r>
      <w:r w:rsidR="00144D0B">
        <w:rPr>
          <w:sz w:val="24"/>
          <w:szCs w:val="24"/>
        </w:rPr>
        <w:t xml:space="preserve">the </w:t>
      </w:r>
      <w:r w:rsidR="00DF5A58">
        <w:rPr>
          <w:sz w:val="24"/>
          <w:szCs w:val="24"/>
        </w:rPr>
        <w:t>seafloor.</w:t>
      </w:r>
    </w:p>
    <w:p w14:paraId="3640A1E9" w14:textId="257E2C0B" w:rsidR="00090EBF" w:rsidRDefault="00DF5A58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7062D">
        <w:rPr>
          <w:sz w:val="24"/>
          <w:szCs w:val="24"/>
        </w:rPr>
        <w:t>The pipe in Cook Inlet would be substantially heavier than the pipe along the rest of the 807-mile route from Prudhoe Bay to Nikiski</w:t>
      </w:r>
      <w:r w:rsidR="00C02C54">
        <w:rPr>
          <w:sz w:val="24"/>
          <w:szCs w:val="24"/>
        </w:rPr>
        <w:t>, most of which would range between 0.677 and 0.862 inches thick</w:t>
      </w:r>
      <w:r w:rsidR="0017062D">
        <w:rPr>
          <w:sz w:val="24"/>
          <w:szCs w:val="24"/>
        </w:rPr>
        <w:t>.</w:t>
      </w:r>
      <w:r w:rsidR="004E3F1E">
        <w:rPr>
          <w:sz w:val="24"/>
          <w:szCs w:val="24"/>
        </w:rPr>
        <w:t xml:space="preserve"> </w:t>
      </w:r>
      <w:r w:rsidR="000823B2">
        <w:rPr>
          <w:sz w:val="24"/>
          <w:szCs w:val="24"/>
        </w:rPr>
        <w:t xml:space="preserve"> </w:t>
      </w:r>
      <w:r w:rsidR="00090EBF">
        <w:rPr>
          <w:sz w:val="24"/>
          <w:szCs w:val="24"/>
        </w:rPr>
        <w:t>Because the gas moving through the line is pressurized — to about 2,000 pounds per square inch — to keep it moving and keep it cool, the gas line steel is much thicker than the 0.462-inch and 0.562-inch pipe used for the trans-Alaska oil pipeline construction more than 40 years ago.</w:t>
      </w:r>
    </w:p>
    <w:p w14:paraId="330147F3" w14:textId="5A467DD6" w:rsidR="0017062D" w:rsidRDefault="0017062D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AGDC’s answers filed with FERC also addressed questions raised last fall by the U.S. Pipeline and Hazardous Materials Safety Administration (PHMSA), which regulates oil and gas pipeline safety standards.</w:t>
      </w:r>
    </w:p>
    <w:p w14:paraId="40878FBD" w14:textId="64126CBB" w:rsidR="00FD5144" w:rsidRDefault="0017062D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D5144">
        <w:rPr>
          <w:sz w:val="24"/>
          <w:szCs w:val="24"/>
        </w:rPr>
        <w:t xml:space="preserve">Responding to </w:t>
      </w:r>
      <w:r w:rsidR="002D39F2">
        <w:rPr>
          <w:sz w:val="24"/>
          <w:szCs w:val="24"/>
        </w:rPr>
        <w:t xml:space="preserve">the regulators’ </w:t>
      </w:r>
      <w:r w:rsidR="00FD5144">
        <w:rPr>
          <w:sz w:val="24"/>
          <w:szCs w:val="24"/>
        </w:rPr>
        <w:t xml:space="preserve">questions, AGDC said it is not planning to install any piling, riprap (large rock) or “concrete mattresses” to help hold the </w:t>
      </w:r>
      <w:r w:rsidR="008B42D2">
        <w:rPr>
          <w:sz w:val="24"/>
          <w:szCs w:val="24"/>
        </w:rPr>
        <w:t>pipe</w:t>
      </w:r>
      <w:r w:rsidR="00FD5144">
        <w:rPr>
          <w:sz w:val="24"/>
          <w:szCs w:val="24"/>
        </w:rPr>
        <w:t xml:space="preserve">line in place against </w:t>
      </w:r>
      <w:r w:rsidR="008B42D2">
        <w:rPr>
          <w:sz w:val="24"/>
          <w:szCs w:val="24"/>
        </w:rPr>
        <w:t>Cook Inlet</w:t>
      </w:r>
      <w:r w:rsidR="00FD5144">
        <w:rPr>
          <w:sz w:val="24"/>
          <w:szCs w:val="24"/>
        </w:rPr>
        <w:t xml:space="preserve"> currents.</w:t>
      </w:r>
      <w:r w:rsidR="00253AB0">
        <w:rPr>
          <w:sz w:val="24"/>
          <w:szCs w:val="24"/>
        </w:rPr>
        <w:t xml:space="preserve"> </w:t>
      </w:r>
      <w:r w:rsidR="00FD5144">
        <w:rPr>
          <w:sz w:val="24"/>
          <w:szCs w:val="24"/>
        </w:rPr>
        <w:t xml:space="preserve"> Its analysis determined no such anchoring is needed, the state team said in its May 24 filing.</w:t>
      </w:r>
    </w:p>
    <w:p w14:paraId="5D565315" w14:textId="31E22284" w:rsidR="0017062D" w:rsidRDefault="0019595D" w:rsidP="002D39F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 analysis indicates that the installed pipeline would be stable and not subject to lateral movement,” AGDC </w:t>
      </w:r>
      <w:r w:rsidR="002D39F2">
        <w:rPr>
          <w:sz w:val="24"/>
          <w:szCs w:val="24"/>
        </w:rPr>
        <w:t>said</w:t>
      </w:r>
      <w:r>
        <w:rPr>
          <w:sz w:val="24"/>
          <w:szCs w:val="24"/>
        </w:rPr>
        <w:t>.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state team added that stability designs would be “further evaluated … when updated geotechnical information is available.”</w:t>
      </w:r>
    </w:p>
    <w:p w14:paraId="5EF92DFF" w14:textId="18666FFF" w:rsidR="00AB2BED" w:rsidRDefault="00AB2BED" w:rsidP="00AB2BED">
      <w:pPr>
        <w:spacing w:after="0" w:line="240" w:lineRule="auto"/>
        <w:rPr>
          <w:sz w:val="24"/>
          <w:szCs w:val="24"/>
        </w:rPr>
      </w:pPr>
    </w:p>
    <w:p w14:paraId="2CE353BE" w14:textId="1A0F753F" w:rsidR="00AB2BED" w:rsidRPr="00AB2BED" w:rsidRDefault="00AB2BED" w:rsidP="00AB2BED">
      <w:pPr>
        <w:spacing w:after="0" w:line="240" w:lineRule="auto"/>
        <w:rPr>
          <w:b/>
          <w:bCs/>
          <w:sz w:val="24"/>
          <w:szCs w:val="24"/>
        </w:rPr>
      </w:pPr>
      <w:r w:rsidRPr="00AB2BED">
        <w:rPr>
          <w:b/>
          <w:bCs/>
          <w:sz w:val="24"/>
          <w:szCs w:val="24"/>
        </w:rPr>
        <w:lastRenderedPageBreak/>
        <w:t>PIPE-LAYING OPERATIONS</w:t>
      </w:r>
    </w:p>
    <w:p w14:paraId="5E11A330" w14:textId="77777777" w:rsidR="00AB2BED" w:rsidRDefault="00AB2BED" w:rsidP="00AB2BED">
      <w:pPr>
        <w:spacing w:after="0" w:line="240" w:lineRule="auto"/>
        <w:rPr>
          <w:sz w:val="24"/>
          <w:szCs w:val="24"/>
        </w:rPr>
      </w:pPr>
    </w:p>
    <w:p w14:paraId="745611AD" w14:textId="13655C8F" w:rsidR="00672F16" w:rsidRDefault="0019595D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pipe segments would be welded </w:t>
      </w:r>
      <w:r w:rsidR="00144D0B">
        <w:rPr>
          <w:sz w:val="24"/>
          <w:szCs w:val="24"/>
        </w:rPr>
        <w:t xml:space="preserve">together </w:t>
      </w:r>
      <w:r>
        <w:rPr>
          <w:sz w:val="24"/>
          <w:szCs w:val="24"/>
        </w:rPr>
        <w:t xml:space="preserve">aboard a pipe-laying barge and </w:t>
      </w:r>
      <w:r w:rsidR="00672F16">
        <w:rPr>
          <w:sz w:val="24"/>
          <w:szCs w:val="24"/>
        </w:rPr>
        <w:t xml:space="preserve">the string </w:t>
      </w:r>
      <w:r>
        <w:rPr>
          <w:sz w:val="24"/>
          <w:szCs w:val="24"/>
        </w:rPr>
        <w:t xml:space="preserve">continuously lowered into the water, </w:t>
      </w:r>
      <w:r w:rsidR="008B42D2">
        <w:rPr>
          <w:sz w:val="24"/>
          <w:szCs w:val="24"/>
        </w:rPr>
        <w:t>putting stress on</w:t>
      </w:r>
      <w:r>
        <w:rPr>
          <w:sz w:val="24"/>
          <w:szCs w:val="24"/>
        </w:rPr>
        <w:t xml:space="preserve"> the </w:t>
      </w:r>
      <w:r w:rsidR="00672F16">
        <w:rPr>
          <w:sz w:val="24"/>
          <w:szCs w:val="24"/>
        </w:rPr>
        <w:t>steel pipe, concrete coating</w:t>
      </w:r>
      <w:r w:rsidR="00253AB0">
        <w:rPr>
          <w:sz w:val="24"/>
          <w:szCs w:val="24"/>
        </w:rPr>
        <w:t>,</w:t>
      </w:r>
      <w:r w:rsidR="00672F16">
        <w:rPr>
          <w:sz w:val="24"/>
          <w:szCs w:val="24"/>
        </w:rPr>
        <w:t xml:space="preserve"> and welds.</w:t>
      </w:r>
      <w:r w:rsidR="00253AB0">
        <w:rPr>
          <w:sz w:val="24"/>
          <w:szCs w:val="24"/>
        </w:rPr>
        <w:t xml:space="preserve"> </w:t>
      </w:r>
      <w:r w:rsidR="00672F16">
        <w:rPr>
          <w:sz w:val="24"/>
          <w:szCs w:val="24"/>
        </w:rPr>
        <w:t xml:space="preserve"> Federal regulators asked AGDC </w:t>
      </w:r>
      <w:r w:rsidR="008B42D2">
        <w:rPr>
          <w:sz w:val="24"/>
          <w:szCs w:val="24"/>
        </w:rPr>
        <w:t xml:space="preserve">if it </w:t>
      </w:r>
      <w:r w:rsidR="00672F16">
        <w:rPr>
          <w:sz w:val="24"/>
          <w:szCs w:val="24"/>
        </w:rPr>
        <w:t>had a plan to ensure</w:t>
      </w:r>
      <w:r w:rsidR="008B42D2">
        <w:rPr>
          <w:sz w:val="24"/>
          <w:szCs w:val="24"/>
        </w:rPr>
        <w:t xml:space="preserve"> that</w:t>
      </w:r>
      <w:r w:rsidR="00672F16">
        <w:rPr>
          <w:sz w:val="24"/>
          <w:szCs w:val="24"/>
        </w:rPr>
        <w:t xml:space="preserve"> the weight of the </w:t>
      </w:r>
      <w:r w:rsidR="008B42D2">
        <w:rPr>
          <w:sz w:val="24"/>
          <w:szCs w:val="24"/>
        </w:rPr>
        <w:t>pipe</w:t>
      </w:r>
      <w:r w:rsidR="00672F16">
        <w:rPr>
          <w:sz w:val="24"/>
          <w:szCs w:val="24"/>
        </w:rPr>
        <w:t xml:space="preserve"> and strong currents </w:t>
      </w:r>
      <w:r w:rsidR="00144D0B">
        <w:rPr>
          <w:sz w:val="24"/>
          <w:szCs w:val="24"/>
        </w:rPr>
        <w:t>would</w:t>
      </w:r>
      <w:r w:rsidR="00672F16">
        <w:rPr>
          <w:sz w:val="24"/>
          <w:szCs w:val="24"/>
        </w:rPr>
        <w:t xml:space="preserve"> not damage the line during the </w:t>
      </w:r>
      <w:r w:rsidR="002D39F2">
        <w:rPr>
          <w:sz w:val="24"/>
          <w:szCs w:val="24"/>
        </w:rPr>
        <w:t xml:space="preserve">pipe-laying </w:t>
      </w:r>
      <w:r w:rsidR="00672F16">
        <w:rPr>
          <w:sz w:val="24"/>
          <w:szCs w:val="24"/>
        </w:rPr>
        <w:t>operation.</w:t>
      </w:r>
    </w:p>
    <w:p w14:paraId="4988B524" w14:textId="3CA22C7C" w:rsidR="0019595D" w:rsidRDefault="00672F16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“Initial analysis indicates that pipelay … will not result in stress loads sufficient to result in pipe buckling or concrete crushing,” AGDC said.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 corporation further explained that the exact tensions on the pipe would be specific to the vessel used for the operation.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>“Therefore, such issues will be re-examined when contractor equipment is known.”</w:t>
      </w:r>
    </w:p>
    <w:p w14:paraId="61315225" w14:textId="02162B62" w:rsidR="00FD5144" w:rsidRDefault="00FD5144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project team expects the pipe-laying barge would move at 0.5 to 1 knot a day, with the entire operation from shore to shore scheduled for just short of three months when the inlet is ice-free.</w:t>
      </w:r>
    </w:p>
    <w:p w14:paraId="02F573A3" w14:textId="6E404A37" w:rsidR="002D39F2" w:rsidRDefault="002D39F2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underwater pipe would link up on the west and east sides of Cook Inlet with shorter segments trench</w:t>
      </w:r>
      <w:r w:rsidR="008B42D2">
        <w:rPr>
          <w:sz w:val="24"/>
          <w:szCs w:val="24"/>
        </w:rPr>
        <w:t>ed</w:t>
      </w:r>
      <w:r>
        <w:rPr>
          <w:sz w:val="24"/>
          <w:szCs w:val="24"/>
        </w:rPr>
        <w:t xml:space="preserve"> and buried through shallower water.</w:t>
      </w:r>
    </w:p>
    <w:p w14:paraId="022C9217" w14:textId="472C15C1" w:rsidR="008169B1" w:rsidRDefault="003518E0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In its analysis of seafloor conditions along the crossing route, AGDC relied on 22 soil corings, conducted in 2016 before North Slope oil and gas producers ExxonMobil, BP</w:t>
      </w:r>
      <w:r w:rsidR="00253AB0">
        <w:rPr>
          <w:sz w:val="24"/>
          <w:szCs w:val="24"/>
        </w:rPr>
        <w:t>,</w:t>
      </w:r>
      <w:r>
        <w:rPr>
          <w:sz w:val="24"/>
          <w:szCs w:val="24"/>
        </w:rPr>
        <w:t xml:space="preserve"> and ConocoPhillips left the project and turned over management to the state.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companies </w:t>
      </w:r>
      <w:r w:rsidR="008169B1">
        <w:rPr>
          <w:sz w:val="24"/>
          <w:szCs w:val="24"/>
        </w:rPr>
        <w:t>at that time did not believe market conditions warranted proceeding with the FERC application and spending more money on permitting and design.</w:t>
      </w:r>
    </w:p>
    <w:p w14:paraId="49617B6C" w14:textId="014B5726" w:rsidR="003518E0" w:rsidRDefault="008169B1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Those 2016 soil corings were taken every 1,000 feet along the route where the pipeline would be buried or trenched near shore and every 3 miles where the pipe </w:t>
      </w:r>
      <w:r w:rsidR="008B42D2">
        <w:rPr>
          <w:sz w:val="24"/>
          <w:szCs w:val="24"/>
        </w:rPr>
        <w:t>would</w:t>
      </w:r>
      <w:r>
        <w:rPr>
          <w:sz w:val="24"/>
          <w:szCs w:val="24"/>
        </w:rPr>
        <w:t xml:space="preserve"> be laid uncove</w:t>
      </w:r>
      <w:r w:rsidR="00253AB0">
        <w:rPr>
          <w:sz w:val="24"/>
          <w:szCs w:val="24"/>
        </w:rPr>
        <w:t>red on the bottom of the inlet.</w:t>
      </w:r>
    </w:p>
    <w:p w14:paraId="3F1339F2" w14:textId="350D3F86" w:rsidR="000F47F6" w:rsidRDefault="000F47F6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Federal regulators asked AGDC if it had collected </w:t>
      </w:r>
      <w:r w:rsidR="002D39F2">
        <w:rPr>
          <w:sz w:val="24"/>
          <w:szCs w:val="24"/>
        </w:rPr>
        <w:t>sufficient</w:t>
      </w:r>
      <w:r>
        <w:rPr>
          <w:sz w:val="24"/>
          <w:szCs w:val="24"/>
        </w:rPr>
        <w:t xml:space="preserve"> site-specific data to confirm that the seafloor soil would be firm enough to support the </w:t>
      </w:r>
      <w:r w:rsidR="00D81678">
        <w:rPr>
          <w:sz w:val="24"/>
          <w:szCs w:val="24"/>
        </w:rPr>
        <w:t>heavily weighted</w:t>
      </w:r>
      <w:r>
        <w:rPr>
          <w:sz w:val="24"/>
          <w:szCs w:val="24"/>
        </w:rPr>
        <w:t xml:space="preserve"> pipeline without the line sinking and putting high</w:t>
      </w:r>
      <w:r w:rsidR="002D39F2">
        <w:rPr>
          <w:sz w:val="24"/>
          <w:szCs w:val="24"/>
        </w:rPr>
        <w:t>-</w:t>
      </w:r>
      <w:r>
        <w:rPr>
          <w:sz w:val="24"/>
          <w:szCs w:val="24"/>
        </w:rPr>
        <w:t xml:space="preserve">strain loads on the pipe and welds.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>The state team referred to its 22 soil corings as a “preliminary assessment of bottom soil strata properties and strengths,” adding that “further evaluation will be conducted” if the project goes to the detailed design stage.</w:t>
      </w:r>
    </w:p>
    <w:p w14:paraId="0492BA8B" w14:textId="584ACF0B" w:rsidR="00672F16" w:rsidRDefault="00D52327" w:rsidP="00672F1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Near to shore, the pipe </w:t>
      </w:r>
      <w:r w:rsidR="008B42D2">
        <w:rPr>
          <w:sz w:val="24"/>
          <w:szCs w:val="24"/>
        </w:rPr>
        <w:t>would</w:t>
      </w:r>
      <w:r>
        <w:rPr>
          <w:sz w:val="24"/>
          <w:szCs w:val="24"/>
        </w:rPr>
        <w:t xml:space="preserve"> be buried in a trench. In the very nearshore, about 600 to 800 feet from landfall, the trench </w:t>
      </w:r>
      <w:r w:rsidR="008B42D2">
        <w:rPr>
          <w:sz w:val="24"/>
          <w:szCs w:val="24"/>
        </w:rPr>
        <w:t>would</w:t>
      </w:r>
      <w:r>
        <w:rPr>
          <w:sz w:val="24"/>
          <w:szCs w:val="24"/>
        </w:rPr>
        <w:t xml:space="preserve"> be immediately backfilled to protect and hold the line in place, AGDC said.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>Farther out, “natural fill is expected to occur” to cover the pipe trench.</w:t>
      </w:r>
    </w:p>
    <w:p w14:paraId="3DB80889" w14:textId="77777777" w:rsidR="00AB2BED" w:rsidRDefault="00AB2BED" w:rsidP="00031FD5">
      <w:pPr>
        <w:spacing w:after="0" w:line="240" w:lineRule="auto"/>
        <w:rPr>
          <w:sz w:val="24"/>
          <w:szCs w:val="24"/>
        </w:rPr>
      </w:pPr>
    </w:p>
    <w:p w14:paraId="37C5A3B0" w14:textId="5A1B9026" w:rsidR="00AB2BED" w:rsidRPr="00865246" w:rsidRDefault="00865246" w:rsidP="00031FD5">
      <w:pPr>
        <w:spacing w:after="0" w:line="240" w:lineRule="auto"/>
        <w:rPr>
          <w:b/>
          <w:bCs/>
          <w:sz w:val="24"/>
          <w:szCs w:val="24"/>
        </w:rPr>
      </w:pPr>
      <w:r w:rsidRPr="00865246">
        <w:rPr>
          <w:b/>
          <w:bCs/>
          <w:sz w:val="24"/>
          <w:szCs w:val="24"/>
        </w:rPr>
        <w:t xml:space="preserve">EIS </w:t>
      </w:r>
      <w:r>
        <w:rPr>
          <w:b/>
          <w:bCs/>
          <w:sz w:val="24"/>
          <w:szCs w:val="24"/>
        </w:rPr>
        <w:t xml:space="preserve">and FEDERAL APPROVAL </w:t>
      </w:r>
      <w:r w:rsidRPr="00865246">
        <w:rPr>
          <w:b/>
          <w:bCs/>
          <w:sz w:val="24"/>
          <w:szCs w:val="24"/>
        </w:rPr>
        <w:t>SCHEDULE</w:t>
      </w:r>
    </w:p>
    <w:p w14:paraId="19702A78" w14:textId="77777777" w:rsidR="00AB2BED" w:rsidRDefault="00AB2BED" w:rsidP="00031FD5">
      <w:pPr>
        <w:spacing w:after="0" w:line="240" w:lineRule="auto"/>
        <w:rPr>
          <w:sz w:val="24"/>
          <w:szCs w:val="24"/>
        </w:rPr>
      </w:pPr>
    </w:p>
    <w:p w14:paraId="2AF879A3" w14:textId="48F5D141" w:rsidR="002D39F2" w:rsidRDefault="002D39F2" w:rsidP="00AB2BE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state team is scheduled to file its last responses to FERC’s environmental and engineering data requests later in June and in July.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>Those last answers are not expected to delay release of the draft environmental impact statement (EIS) in June.</w:t>
      </w:r>
    </w:p>
    <w:p w14:paraId="4AB91A98" w14:textId="196998E9" w:rsidR="002D39F2" w:rsidRDefault="002D39F2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Allowing for public hearings around the state, a public comment period and review by </w:t>
      </w:r>
      <w:r w:rsidR="00621F24">
        <w:rPr>
          <w:sz w:val="24"/>
          <w:szCs w:val="24"/>
        </w:rPr>
        <w:t xml:space="preserve">federal agencies participating in the EIS, federal regulators are scheduled to release the project’s final EIS in March 2020. </w:t>
      </w:r>
      <w:r w:rsidR="00253AB0">
        <w:rPr>
          <w:sz w:val="24"/>
          <w:szCs w:val="24"/>
        </w:rPr>
        <w:t xml:space="preserve"> </w:t>
      </w:r>
      <w:r w:rsidR="00621F24">
        <w:rPr>
          <w:sz w:val="24"/>
          <w:szCs w:val="24"/>
        </w:rPr>
        <w:t xml:space="preserve">FERC commissioners would be required to </w:t>
      </w:r>
      <w:r w:rsidR="008B42D2">
        <w:rPr>
          <w:sz w:val="24"/>
          <w:szCs w:val="24"/>
        </w:rPr>
        <w:t>take up</w:t>
      </w:r>
      <w:r w:rsidR="00621F24">
        <w:rPr>
          <w:sz w:val="24"/>
          <w:szCs w:val="24"/>
        </w:rPr>
        <w:t xml:space="preserve"> Alaska LNG</w:t>
      </w:r>
      <w:r w:rsidR="008B42D2">
        <w:rPr>
          <w:sz w:val="24"/>
          <w:szCs w:val="24"/>
        </w:rPr>
        <w:t>’s</w:t>
      </w:r>
      <w:r w:rsidR="00621F24">
        <w:rPr>
          <w:sz w:val="24"/>
          <w:szCs w:val="24"/>
        </w:rPr>
        <w:t xml:space="preserve"> project application no more than 90 days after the final EIS, putting </w:t>
      </w:r>
      <w:r w:rsidR="008B42D2">
        <w:rPr>
          <w:sz w:val="24"/>
          <w:szCs w:val="24"/>
        </w:rPr>
        <w:t>a decision into</w:t>
      </w:r>
      <w:r w:rsidR="00621F24">
        <w:rPr>
          <w:sz w:val="24"/>
          <w:szCs w:val="24"/>
        </w:rPr>
        <w:t xml:space="preserve"> June 2020.</w:t>
      </w:r>
    </w:p>
    <w:p w14:paraId="11332F8B" w14:textId="031BE483" w:rsidR="00A70D31" w:rsidRDefault="00621F24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The state has been paying 100 percent of the permitting and design costs since the North Slope producers left the project 2½ years ago.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AGDC expects to have about $22 million left in its account as of the end of the fiscal year on June 30, which could be tight to finish the </w:t>
      </w:r>
      <w:r w:rsidR="00144D0B">
        <w:rPr>
          <w:sz w:val="24"/>
          <w:szCs w:val="24"/>
        </w:rPr>
        <w:t>effort</w:t>
      </w:r>
      <w:r>
        <w:rPr>
          <w:sz w:val="24"/>
          <w:szCs w:val="24"/>
        </w:rPr>
        <w:t xml:space="preserve"> at FERC while continuing to market the project to potential investors and customers</w:t>
      </w:r>
      <w:r w:rsidR="00144D0B">
        <w:rPr>
          <w:sz w:val="24"/>
          <w:szCs w:val="24"/>
        </w:rPr>
        <w:t xml:space="preserve"> and work on design issues</w:t>
      </w:r>
      <w:r>
        <w:rPr>
          <w:sz w:val="24"/>
          <w:szCs w:val="24"/>
        </w:rPr>
        <w:t xml:space="preserve"> in hopes of putting together an economically viable development.</w:t>
      </w:r>
    </w:p>
    <w:p w14:paraId="55EC1022" w14:textId="34593920" w:rsidR="00621F24" w:rsidRDefault="00F3029D" w:rsidP="00A70D3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Though potential customers have expressed interest in Alaska LNG, none have signed </w:t>
      </w:r>
      <w:r w:rsidR="008B42D2">
        <w:rPr>
          <w:sz w:val="24"/>
          <w:szCs w:val="24"/>
        </w:rPr>
        <w:t xml:space="preserve">a </w:t>
      </w:r>
      <w:r>
        <w:rPr>
          <w:sz w:val="24"/>
          <w:szCs w:val="24"/>
        </w:rPr>
        <w:t>binding commitment or invested in the development</w:t>
      </w:r>
      <w:r w:rsidR="008B42D2">
        <w:rPr>
          <w:sz w:val="24"/>
          <w:szCs w:val="24"/>
        </w:rPr>
        <w:t xml:space="preserve">, which would require billions </w:t>
      </w:r>
      <w:r w:rsidR="00144D0B">
        <w:rPr>
          <w:sz w:val="24"/>
          <w:szCs w:val="24"/>
        </w:rPr>
        <w:t xml:space="preserve">of dollars </w:t>
      </w:r>
      <w:r w:rsidR="008B42D2">
        <w:rPr>
          <w:sz w:val="24"/>
          <w:szCs w:val="24"/>
        </w:rPr>
        <w:t>in equity and tens of billions in long-term financing</w:t>
      </w:r>
      <w:r>
        <w:rPr>
          <w:sz w:val="24"/>
          <w:szCs w:val="24"/>
        </w:rPr>
        <w:t>.</w:t>
      </w:r>
    </w:p>
    <w:p w14:paraId="1C8AE0F8" w14:textId="11D72E54" w:rsidR="00A70D31" w:rsidRDefault="00621F24" w:rsidP="00031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42228">
        <w:rPr>
          <w:sz w:val="24"/>
          <w:szCs w:val="24"/>
        </w:rPr>
        <w:t xml:space="preserve">BP and ExxonMobil in late May agreed to </w:t>
      </w:r>
      <w:r>
        <w:rPr>
          <w:sz w:val="24"/>
          <w:szCs w:val="24"/>
        </w:rPr>
        <w:t xml:space="preserve">help the state finish its work </w:t>
      </w:r>
      <w:r w:rsidR="004D0A7A">
        <w:rPr>
          <w:sz w:val="24"/>
          <w:szCs w:val="24"/>
        </w:rPr>
        <w:t>with</w:t>
      </w:r>
      <w:r>
        <w:rPr>
          <w:sz w:val="24"/>
          <w:szCs w:val="24"/>
        </w:rPr>
        <w:t xml:space="preserve"> FERC.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Each company will </w:t>
      </w:r>
      <w:r w:rsidR="00E42228">
        <w:rPr>
          <w:sz w:val="24"/>
          <w:szCs w:val="24"/>
        </w:rPr>
        <w:t xml:space="preserve">contribute $10 million to the effort, </w:t>
      </w:r>
      <w:r>
        <w:rPr>
          <w:sz w:val="24"/>
          <w:szCs w:val="24"/>
        </w:rPr>
        <w:t>according to an announcement by Alaska Lt. Gov. Kevin Meyer at an oil and gas industry con</w:t>
      </w:r>
      <w:r w:rsidR="00253AB0">
        <w:rPr>
          <w:sz w:val="24"/>
          <w:szCs w:val="24"/>
        </w:rPr>
        <w:t>ference in Anchorage on May 30.</w:t>
      </w:r>
    </w:p>
    <w:p w14:paraId="6A0840FD" w14:textId="14A89627" w:rsidR="00621F24" w:rsidRDefault="00621F24" w:rsidP="00A70D3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Alaska Legislature this session provided no additional state funding for AGDC but did grant the corporation the authority to </w:t>
      </w:r>
      <w:r w:rsidR="00144D0B">
        <w:rPr>
          <w:sz w:val="24"/>
          <w:szCs w:val="24"/>
        </w:rPr>
        <w:t>deposit</w:t>
      </w:r>
      <w:r>
        <w:rPr>
          <w:sz w:val="24"/>
          <w:szCs w:val="24"/>
        </w:rPr>
        <w:t xml:space="preserve"> and spend the producers’ contributions. </w:t>
      </w:r>
      <w:r w:rsidR="00253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</w:t>
      </w:r>
      <w:r w:rsidR="008B42D2">
        <w:rPr>
          <w:sz w:val="24"/>
          <w:szCs w:val="24"/>
        </w:rPr>
        <w:t>producers’</w:t>
      </w:r>
      <w:r>
        <w:rPr>
          <w:sz w:val="24"/>
          <w:szCs w:val="24"/>
        </w:rPr>
        <w:t xml:space="preserve"> funding, the state corporation does not have to worry about shutting down </w:t>
      </w:r>
      <w:r w:rsidR="00A70D31">
        <w:rPr>
          <w:sz w:val="24"/>
          <w:szCs w:val="24"/>
        </w:rPr>
        <w:t xml:space="preserve">later </w:t>
      </w:r>
      <w:r>
        <w:rPr>
          <w:sz w:val="24"/>
          <w:szCs w:val="24"/>
        </w:rPr>
        <w:t xml:space="preserve">in 2020 for lack of </w:t>
      </w:r>
      <w:r w:rsidR="008B42D2">
        <w:rPr>
          <w:sz w:val="24"/>
          <w:szCs w:val="24"/>
        </w:rPr>
        <w:t>money</w:t>
      </w:r>
      <w:r>
        <w:rPr>
          <w:sz w:val="24"/>
          <w:szCs w:val="24"/>
        </w:rPr>
        <w:t>.</w:t>
      </w:r>
    </w:p>
    <w:p w14:paraId="79AC7341" w14:textId="22951E2D" w:rsidR="00445326" w:rsidRPr="00253AB0" w:rsidRDefault="00445326" w:rsidP="00445326">
      <w:pPr>
        <w:spacing w:after="0" w:line="240" w:lineRule="auto"/>
        <w:ind w:firstLine="720"/>
        <w:rPr>
          <w:sz w:val="24"/>
          <w:szCs w:val="24"/>
        </w:rPr>
      </w:pPr>
      <w:r w:rsidRPr="00253AB0">
        <w:rPr>
          <w:sz w:val="24"/>
          <w:szCs w:val="24"/>
        </w:rPr>
        <w:t>Alaska Gov. Mike Dunleavy has been critical of the state leading the costly project.</w:t>
      </w:r>
      <w:r w:rsidR="00253AB0" w:rsidRPr="00253AB0">
        <w:rPr>
          <w:sz w:val="24"/>
          <w:szCs w:val="24"/>
        </w:rPr>
        <w:t xml:space="preserve"> </w:t>
      </w:r>
      <w:r w:rsidRPr="00253AB0">
        <w:rPr>
          <w:sz w:val="24"/>
          <w:szCs w:val="24"/>
        </w:rPr>
        <w:t xml:space="preserve"> AGDC interim president Joe Dubler was quoted in March: “We’re trying to find potential partners to get the state out of the driver’s seat and get other people in.”</w:t>
      </w:r>
    </w:p>
    <w:p w14:paraId="5C9ADDE8" w14:textId="3C3FF26F" w:rsidR="00865246" w:rsidRDefault="00865246" w:rsidP="00865246">
      <w:pPr>
        <w:spacing w:after="0" w:line="240" w:lineRule="auto"/>
        <w:rPr>
          <w:sz w:val="24"/>
          <w:szCs w:val="24"/>
        </w:rPr>
      </w:pPr>
    </w:p>
    <w:p w14:paraId="7C446E67" w14:textId="1AC16438" w:rsidR="00865246" w:rsidRPr="00865246" w:rsidRDefault="00865246" w:rsidP="00865246">
      <w:pPr>
        <w:spacing w:after="0" w:line="240" w:lineRule="auto"/>
        <w:rPr>
          <w:b/>
          <w:bCs/>
          <w:sz w:val="24"/>
          <w:szCs w:val="24"/>
        </w:rPr>
      </w:pPr>
      <w:r w:rsidRPr="00865246">
        <w:rPr>
          <w:b/>
          <w:bCs/>
          <w:sz w:val="24"/>
          <w:szCs w:val="24"/>
        </w:rPr>
        <w:t>AGDC APPLIES FOR SPECIAL PERMITS</w:t>
      </w:r>
    </w:p>
    <w:p w14:paraId="7D14D32C" w14:textId="77777777" w:rsidR="00865246" w:rsidRDefault="00865246" w:rsidP="00A70D31">
      <w:pPr>
        <w:spacing w:after="0" w:line="240" w:lineRule="auto"/>
        <w:ind w:firstLine="720"/>
        <w:rPr>
          <w:sz w:val="24"/>
          <w:szCs w:val="24"/>
        </w:rPr>
      </w:pPr>
    </w:p>
    <w:p w14:paraId="08C2036D" w14:textId="6A2914A8" w:rsidR="00F3029D" w:rsidRDefault="004A2F2B" w:rsidP="00C02C5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10471851"/>
      <w:r w:rsidR="007D6D31">
        <w:rPr>
          <w:sz w:val="24"/>
          <w:szCs w:val="24"/>
        </w:rPr>
        <w:t>I</w:t>
      </w:r>
      <w:r w:rsidR="00F3029D">
        <w:rPr>
          <w:sz w:val="24"/>
          <w:szCs w:val="24"/>
        </w:rPr>
        <w:t>n</w:t>
      </w:r>
      <w:r w:rsidR="007D6D31">
        <w:rPr>
          <w:sz w:val="24"/>
          <w:szCs w:val="24"/>
        </w:rPr>
        <w:t xml:space="preserve"> </w:t>
      </w:r>
      <w:r w:rsidR="00F3029D">
        <w:rPr>
          <w:sz w:val="24"/>
          <w:szCs w:val="24"/>
        </w:rPr>
        <w:t>addition to providing more information to FERC in late May, the state project team filed four special</w:t>
      </w:r>
      <w:r w:rsidR="00A70D31">
        <w:rPr>
          <w:sz w:val="24"/>
          <w:szCs w:val="24"/>
        </w:rPr>
        <w:t>-</w:t>
      </w:r>
      <w:r w:rsidR="00F3029D">
        <w:rPr>
          <w:sz w:val="24"/>
          <w:szCs w:val="24"/>
        </w:rPr>
        <w:t xml:space="preserve">permit requests with PHMSA. </w:t>
      </w:r>
      <w:r w:rsidR="00253AB0">
        <w:rPr>
          <w:sz w:val="24"/>
          <w:szCs w:val="24"/>
        </w:rPr>
        <w:t xml:space="preserve"> </w:t>
      </w:r>
      <w:r w:rsidR="00F3029D">
        <w:rPr>
          <w:sz w:val="24"/>
          <w:szCs w:val="24"/>
        </w:rPr>
        <w:t xml:space="preserve">The applications are out for public comments, which are due to PHMSA no later than July 29. </w:t>
      </w:r>
      <w:r w:rsidR="00253AB0">
        <w:rPr>
          <w:sz w:val="24"/>
          <w:szCs w:val="24"/>
        </w:rPr>
        <w:t xml:space="preserve"> </w:t>
      </w:r>
      <w:r w:rsidR="00F3029D">
        <w:rPr>
          <w:sz w:val="24"/>
          <w:szCs w:val="24"/>
        </w:rPr>
        <w:t>The permits would allow AGDC</w:t>
      </w:r>
      <w:r w:rsidR="00A70D31">
        <w:rPr>
          <w:sz w:val="24"/>
          <w:szCs w:val="24"/>
        </w:rPr>
        <w:t xml:space="preserve"> to construct</w:t>
      </w:r>
      <w:r w:rsidR="00F3029D">
        <w:rPr>
          <w:sz w:val="24"/>
          <w:szCs w:val="24"/>
        </w:rPr>
        <w:t>:</w:t>
      </w:r>
    </w:p>
    <w:p w14:paraId="1D9640C4" w14:textId="3BB28776" w:rsidR="00E86D1C" w:rsidRPr="005D07F8" w:rsidRDefault="00A70D31" w:rsidP="00C02C54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eastAsia="Times New Roman"/>
        </w:rPr>
      </w:pPr>
      <w:r w:rsidRPr="005D07F8">
        <w:rPr>
          <w:sz w:val="24"/>
          <w:szCs w:val="24"/>
        </w:rPr>
        <w:t>L</w:t>
      </w:r>
      <w:r w:rsidR="00F3029D" w:rsidRPr="005D07F8">
        <w:rPr>
          <w:sz w:val="24"/>
          <w:szCs w:val="24"/>
        </w:rPr>
        <w:t xml:space="preserve">imited segments of the pipeline through sparsely populated areas using what’s called “strain-based design,” </w:t>
      </w:r>
      <w:r w:rsidRPr="005D07F8">
        <w:rPr>
          <w:sz w:val="24"/>
          <w:szCs w:val="24"/>
        </w:rPr>
        <w:t>requiring</w:t>
      </w:r>
      <w:r w:rsidR="00F3029D" w:rsidRPr="005D07F8">
        <w:rPr>
          <w:sz w:val="24"/>
          <w:szCs w:val="24"/>
        </w:rPr>
        <w:t xml:space="preserve"> AGDC </w:t>
      </w:r>
      <w:r w:rsidRPr="005D07F8">
        <w:rPr>
          <w:sz w:val="24"/>
          <w:szCs w:val="24"/>
        </w:rPr>
        <w:t>to</w:t>
      </w:r>
      <w:r w:rsidR="00F3029D" w:rsidRPr="005D07F8">
        <w:rPr>
          <w:sz w:val="24"/>
          <w:szCs w:val="24"/>
        </w:rPr>
        <w:t xml:space="preserve"> show regulators that the pipe </w:t>
      </w:r>
      <w:r w:rsidR="005D07F8" w:rsidRPr="005D07F8">
        <w:rPr>
          <w:sz w:val="24"/>
          <w:szCs w:val="24"/>
        </w:rPr>
        <w:t xml:space="preserve">could withstand ground movement from either frost heave or thaw settlement. </w:t>
      </w:r>
      <w:r w:rsidR="00253AB0">
        <w:rPr>
          <w:sz w:val="24"/>
          <w:szCs w:val="24"/>
        </w:rPr>
        <w:t xml:space="preserve"> </w:t>
      </w:r>
      <w:r w:rsidR="00FB2DD5" w:rsidRPr="005D07F8">
        <w:rPr>
          <w:sz w:val="24"/>
          <w:szCs w:val="24"/>
        </w:rPr>
        <w:t>The segments would be limited to stretches in the Interior, north of Fairbanks, and in the Denali Borough south of Fairbanks.</w:t>
      </w:r>
      <w:bookmarkStart w:id="1" w:name="_GoBack"/>
      <w:bookmarkEnd w:id="1"/>
    </w:p>
    <w:p w14:paraId="0F2BF2F9" w14:textId="4B039847" w:rsidR="00E42228" w:rsidRDefault="00A70D31" w:rsidP="00C02C54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</w:t>
      </w:r>
      <w:r w:rsidRPr="00E86D1C">
        <w:rPr>
          <w:sz w:val="24"/>
          <w:szCs w:val="24"/>
        </w:rPr>
        <w:t>ainline block valves at 30- or 50-mile intervals</w:t>
      </w:r>
      <w:r>
        <w:rPr>
          <w:sz w:val="24"/>
          <w:szCs w:val="24"/>
        </w:rPr>
        <w:t xml:space="preserve"> — i</w:t>
      </w:r>
      <w:r w:rsidR="00FB2DD5" w:rsidRPr="00E86D1C">
        <w:rPr>
          <w:sz w:val="24"/>
          <w:szCs w:val="24"/>
        </w:rPr>
        <w:t>n those same “very sparsely populated” regions</w:t>
      </w:r>
      <w:r>
        <w:rPr>
          <w:sz w:val="24"/>
          <w:szCs w:val="24"/>
        </w:rPr>
        <w:t xml:space="preserve"> — </w:t>
      </w:r>
      <w:r w:rsidR="00FB2DD5" w:rsidRPr="00E86D1C">
        <w:rPr>
          <w:sz w:val="24"/>
          <w:szCs w:val="24"/>
        </w:rPr>
        <w:t xml:space="preserve">instead of the standard 20-mile spacing. </w:t>
      </w:r>
      <w:r w:rsidR="00253AB0">
        <w:rPr>
          <w:sz w:val="24"/>
          <w:szCs w:val="24"/>
        </w:rPr>
        <w:t xml:space="preserve"> </w:t>
      </w:r>
      <w:r w:rsidR="00FB2DD5" w:rsidRPr="00E86D1C">
        <w:rPr>
          <w:sz w:val="24"/>
          <w:szCs w:val="24"/>
        </w:rPr>
        <w:t>Block valves are a safety feature; they detect a drop in gas pressure and close off and isolate that section of pipe to limit the risk of leaks or explosions.</w:t>
      </w:r>
    </w:p>
    <w:p w14:paraId="6250AF11" w14:textId="63F5B089" w:rsidR="00950D01" w:rsidRDefault="00A70D31" w:rsidP="00C02C54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</w:t>
      </w:r>
      <w:r w:rsidR="00326CE0">
        <w:rPr>
          <w:sz w:val="24"/>
          <w:szCs w:val="24"/>
        </w:rPr>
        <w:t xml:space="preserve">rack arrestors at intervals along the pipeline of up to 1,600 feet, instead of the general standard of every 320 feet. </w:t>
      </w:r>
      <w:r w:rsidR="00253AB0">
        <w:rPr>
          <w:sz w:val="24"/>
          <w:szCs w:val="24"/>
        </w:rPr>
        <w:t xml:space="preserve"> </w:t>
      </w:r>
      <w:r w:rsidR="00326CE0">
        <w:rPr>
          <w:sz w:val="24"/>
          <w:szCs w:val="24"/>
        </w:rPr>
        <w:t>A crack arrestor is a steel sleeve that encircles the pipe and is designed to stop a crack from extending past the sleeve.</w:t>
      </w:r>
    </w:p>
    <w:p w14:paraId="27EFC1BD" w14:textId="2C2109FA" w:rsidR="00FB2DD5" w:rsidRDefault="00A70D31" w:rsidP="009D6650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mainline </w:t>
      </w:r>
      <w:r w:rsidR="00144D0B">
        <w:rPr>
          <w:sz w:val="24"/>
          <w:szCs w:val="24"/>
        </w:rPr>
        <w:t>using</w:t>
      </w:r>
      <w:r>
        <w:rPr>
          <w:sz w:val="24"/>
          <w:szCs w:val="24"/>
        </w:rPr>
        <w:t xml:space="preserve"> a t</w:t>
      </w:r>
      <w:r w:rsidR="00326CE0" w:rsidRPr="008A4F1B">
        <w:rPr>
          <w:sz w:val="24"/>
          <w:szCs w:val="24"/>
        </w:rPr>
        <w:t xml:space="preserve">hree-layer polyethylene coating on the pipe. </w:t>
      </w:r>
      <w:r w:rsidR="00253AB0">
        <w:rPr>
          <w:sz w:val="24"/>
          <w:szCs w:val="24"/>
        </w:rPr>
        <w:t xml:space="preserve"> </w:t>
      </w:r>
      <w:r w:rsidR="00326CE0" w:rsidRPr="008A4F1B">
        <w:rPr>
          <w:sz w:val="24"/>
          <w:szCs w:val="24"/>
        </w:rPr>
        <w:t>PHMSA regulations do not require a specific coating, but developers are required to show that their coating of choice can protect the pipe from damage during transport, construction</w:t>
      </w:r>
      <w:r w:rsidR="00253AB0">
        <w:rPr>
          <w:sz w:val="24"/>
          <w:szCs w:val="24"/>
        </w:rPr>
        <w:t>,</w:t>
      </w:r>
      <w:r w:rsidR="00326CE0" w:rsidRPr="008A4F1B">
        <w:rPr>
          <w:sz w:val="24"/>
          <w:szCs w:val="24"/>
        </w:rPr>
        <w:t xml:space="preserve"> and operations.</w:t>
      </w:r>
      <w:r w:rsidR="008A4F1B">
        <w:rPr>
          <w:sz w:val="24"/>
          <w:szCs w:val="24"/>
        </w:rPr>
        <w:t xml:space="preserve"> </w:t>
      </w:r>
      <w:r w:rsidR="00253AB0">
        <w:rPr>
          <w:sz w:val="24"/>
          <w:szCs w:val="24"/>
        </w:rPr>
        <w:t xml:space="preserve"> </w:t>
      </w:r>
      <w:r w:rsidR="008A4F1B">
        <w:rPr>
          <w:sz w:val="24"/>
          <w:szCs w:val="24"/>
        </w:rPr>
        <w:t>The polyethylene coating would be applied at the pipe mill, to ensure full protection during transport.</w:t>
      </w:r>
    </w:p>
    <w:p w14:paraId="68AF3BEE" w14:textId="07E3CEFA" w:rsidR="00C02C54" w:rsidRDefault="00C02C54" w:rsidP="00865246">
      <w:pPr>
        <w:spacing w:after="0" w:line="240" w:lineRule="auto"/>
        <w:rPr>
          <w:sz w:val="24"/>
          <w:szCs w:val="24"/>
        </w:rPr>
      </w:pPr>
    </w:p>
    <w:p w14:paraId="49880BFC" w14:textId="4ABA346C" w:rsidR="00865246" w:rsidRPr="00865246" w:rsidRDefault="00865246" w:rsidP="00865246">
      <w:pPr>
        <w:spacing w:after="0" w:line="240" w:lineRule="auto"/>
        <w:rPr>
          <w:b/>
          <w:bCs/>
          <w:sz w:val="24"/>
          <w:szCs w:val="24"/>
        </w:rPr>
      </w:pPr>
      <w:r w:rsidRPr="00865246">
        <w:rPr>
          <w:b/>
          <w:bCs/>
          <w:sz w:val="24"/>
          <w:szCs w:val="24"/>
        </w:rPr>
        <w:lastRenderedPageBreak/>
        <w:t>AGDC FILES ADDITIONAL DETAILS WITH FERC</w:t>
      </w:r>
    </w:p>
    <w:p w14:paraId="39FE7550" w14:textId="77777777" w:rsidR="00865246" w:rsidRPr="00865246" w:rsidRDefault="00865246" w:rsidP="00865246">
      <w:pPr>
        <w:spacing w:after="0" w:line="240" w:lineRule="auto"/>
        <w:rPr>
          <w:sz w:val="24"/>
          <w:szCs w:val="24"/>
        </w:rPr>
      </w:pPr>
    </w:p>
    <w:bookmarkEnd w:id="0"/>
    <w:p w14:paraId="60F5B411" w14:textId="7CBDDA44" w:rsidR="00F3029D" w:rsidRDefault="00F3029D" w:rsidP="00DC1D8E">
      <w:pPr>
        <w:spacing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In other answers submitted to federal regulators in multiple filings in late May, AGDC reported:</w:t>
      </w:r>
    </w:p>
    <w:p w14:paraId="48A32BFE" w14:textId="545FEBDD" w:rsidR="000D4FDC" w:rsidRDefault="008A4F1B" w:rsidP="00C02C54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8A4F1B">
        <w:rPr>
          <w:rFonts w:cstheme="minorHAnsi"/>
          <w:sz w:val="24"/>
          <w:szCs w:val="24"/>
        </w:rPr>
        <w:t>Additional details of its fire-suppression and spill-prevention systems at the gas liquefaction plant, storage tanks</w:t>
      </w:r>
      <w:r w:rsidR="00253AB0">
        <w:rPr>
          <w:rFonts w:cstheme="minorHAnsi"/>
          <w:sz w:val="24"/>
          <w:szCs w:val="24"/>
        </w:rPr>
        <w:t>,</w:t>
      </w:r>
      <w:r w:rsidRPr="008A4F1B">
        <w:rPr>
          <w:rFonts w:cstheme="minorHAnsi"/>
          <w:sz w:val="24"/>
          <w:szCs w:val="24"/>
        </w:rPr>
        <w:t xml:space="preserve"> marine terminal in Nikiski</w:t>
      </w:r>
      <w:r w:rsidR="00253AB0">
        <w:rPr>
          <w:rFonts w:cstheme="minorHAnsi"/>
          <w:sz w:val="24"/>
          <w:szCs w:val="24"/>
        </w:rPr>
        <w:t>,</w:t>
      </w:r>
      <w:r w:rsidRPr="008A4F1B">
        <w:rPr>
          <w:rFonts w:cstheme="minorHAnsi"/>
          <w:sz w:val="24"/>
          <w:szCs w:val="24"/>
        </w:rPr>
        <w:t xml:space="preserve"> and </w:t>
      </w:r>
      <w:r w:rsidR="00E83075">
        <w:rPr>
          <w:rFonts w:cstheme="minorHAnsi"/>
          <w:sz w:val="24"/>
          <w:szCs w:val="24"/>
        </w:rPr>
        <w:t xml:space="preserve">at the </w:t>
      </w:r>
      <w:r w:rsidRPr="008A4F1B">
        <w:rPr>
          <w:rFonts w:cstheme="minorHAnsi"/>
          <w:sz w:val="24"/>
          <w:szCs w:val="24"/>
        </w:rPr>
        <w:t>gas treatment plant at Prudhoe Bay that would remove carbon dioxide, water</w:t>
      </w:r>
      <w:r w:rsidR="00253AB0">
        <w:rPr>
          <w:rFonts w:cstheme="minorHAnsi"/>
          <w:sz w:val="24"/>
          <w:szCs w:val="24"/>
        </w:rPr>
        <w:t>,</w:t>
      </w:r>
      <w:r w:rsidRPr="008A4F1B">
        <w:rPr>
          <w:rFonts w:cstheme="minorHAnsi"/>
          <w:sz w:val="24"/>
          <w:szCs w:val="24"/>
        </w:rPr>
        <w:t xml:space="preserve"> and other impurities from the gas stream before it starts its 807-mile journey to the LNG terminal.</w:t>
      </w:r>
    </w:p>
    <w:p w14:paraId="032EFA95" w14:textId="7EE86043" w:rsidR="008A4F1B" w:rsidRPr="00023193" w:rsidRDefault="00684EEB" w:rsidP="00C02C54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Updated details for direct microtunneling to </w:t>
      </w:r>
      <w:r w:rsidR="00AA2530">
        <w:rPr>
          <w:rFonts w:cstheme="minorHAnsi"/>
          <w:sz w:val="24"/>
          <w:szCs w:val="24"/>
        </w:rPr>
        <w:t>run the pipe under five waterway crossings, including the Tanana River.</w:t>
      </w:r>
      <w:r w:rsidR="00253AB0">
        <w:rPr>
          <w:rFonts w:cstheme="minorHAnsi"/>
          <w:sz w:val="24"/>
          <w:szCs w:val="24"/>
        </w:rPr>
        <w:t xml:space="preserve"> </w:t>
      </w:r>
      <w:r w:rsidR="00AA2530">
        <w:rPr>
          <w:rFonts w:cstheme="minorHAnsi"/>
          <w:sz w:val="24"/>
          <w:szCs w:val="24"/>
        </w:rPr>
        <w:t xml:space="preserve"> The filing includes plans for any inadvertent release of drilling fluids or other contaminants during the tunneling.</w:t>
      </w:r>
      <w:r w:rsidR="00023193" w:rsidRPr="00023193">
        <w:rPr>
          <w:rFonts w:ascii="Arial" w:hAnsi="Arial" w:cs="Arial"/>
          <w:color w:val="444444"/>
          <w:sz w:val="21"/>
          <w:szCs w:val="21"/>
          <w:shd w:val="clear" w:color="auto" w:fill="FCFCFC"/>
        </w:rPr>
        <w:t xml:space="preserve"> </w:t>
      </w:r>
      <w:r w:rsidR="00023193" w:rsidRPr="00023193">
        <w:rPr>
          <w:rFonts w:cstheme="minorHAnsi"/>
          <w:sz w:val="24"/>
          <w:szCs w:val="24"/>
          <w:shd w:val="clear" w:color="auto" w:fill="FCFCFC"/>
        </w:rPr>
        <w:t>In microtunneling, a laser-guided machine is lowered into a pit to dig its way under the waterbody.</w:t>
      </w:r>
    </w:p>
    <w:p w14:paraId="38C72CF5" w14:textId="20B4656C" w:rsidR="00AA2530" w:rsidRPr="00AA2530" w:rsidRDefault="00AA2530" w:rsidP="00C02C54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AA2530">
        <w:rPr>
          <w:rFonts w:cstheme="minorHAnsi"/>
          <w:sz w:val="24"/>
          <w:szCs w:val="24"/>
        </w:rPr>
        <w:t xml:space="preserve">Preliminary site-specific plans for each of the </w:t>
      </w:r>
      <w:r>
        <w:rPr>
          <w:rFonts w:cstheme="minorHAnsi"/>
          <w:sz w:val="24"/>
          <w:szCs w:val="24"/>
        </w:rPr>
        <w:t>24</w:t>
      </w:r>
      <w:r w:rsidR="008B42D2">
        <w:rPr>
          <w:rFonts w:cstheme="minorHAnsi"/>
          <w:sz w:val="24"/>
          <w:szCs w:val="24"/>
        </w:rPr>
        <w:t xml:space="preserve"> </w:t>
      </w:r>
      <w:r w:rsidR="00DC1D8E">
        <w:rPr>
          <w:rFonts w:cstheme="minorHAnsi"/>
          <w:sz w:val="24"/>
          <w:szCs w:val="24"/>
        </w:rPr>
        <w:t xml:space="preserve">gas </w:t>
      </w:r>
      <w:r w:rsidR="008B42D2">
        <w:rPr>
          <w:rFonts w:cstheme="minorHAnsi"/>
          <w:sz w:val="24"/>
          <w:szCs w:val="24"/>
        </w:rPr>
        <w:t>pipe</w:t>
      </w:r>
      <w:r w:rsidRPr="00AA2530">
        <w:rPr>
          <w:rFonts w:cstheme="minorHAnsi"/>
          <w:sz w:val="24"/>
          <w:szCs w:val="24"/>
        </w:rPr>
        <w:t xml:space="preserve">line crossings </w:t>
      </w:r>
      <w:r>
        <w:rPr>
          <w:rFonts w:cstheme="minorHAnsi"/>
          <w:sz w:val="24"/>
          <w:szCs w:val="24"/>
        </w:rPr>
        <w:t>beneath</w:t>
      </w:r>
      <w:r w:rsidRPr="00AA2530">
        <w:rPr>
          <w:rFonts w:cstheme="minorHAnsi"/>
          <w:sz w:val="24"/>
          <w:szCs w:val="24"/>
        </w:rPr>
        <w:t xml:space="preserve"> the Dalton Highway</w:t>
      </w:r>
      <w:r>
        <w:rPr>
          <w:rFonts w:cstheme="minorHAnsi"/>
          <w:sz w:val="24"/>
          <w:szCs w:val="24"/>
        </w:rPr>
        <w:t>, which runs from north of Fairbanks to Prudhoe Bay</w:t>
      </w:r>
      <w:r w:rsidRPr="00AA2530">
        <w:rPr>
          <w:rFonts w:cstheme="minorHAnsi"/>
          <w:sz w:val="24"/>
          <w:szCs w:val="24"/>
        </w:rPr>
        <w:t>.</w:t>
      </w:r>
    </w:p>
    <w:p w14:paraId="76EF2C52" w14:textId="368627F7" w:rsidR="00AA2530" w:rsidRDefault="00AA2530" w:rsidP="00C02C54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details for the 12 locations where the gas line would cross the t</w:t>
      </w:r>
      <w:r w:rsidRPr="00AA2530">
        <w:rPr>
          <w:rFonts w:cstheme="minorHAnsi"/>
          <w:sz w:val="24"/>
          <w:szCs w:val="24"/>
        </w:rPr>
        <w:t xml:space="preserve">rans-Alaska </w:t>
      </w:r>
      <w:r>
        <w:rPr>
          <w:rFonts w:cstheme="minorHAnsi"/>
          <w:sz w:val="24"/>
          <w:szCs w:val="24"/>
        </w:rPr>
        <w:t>oil pipeline</w:t>
      </w:r>
      <w:r w:rsidRPr="00AA2530">
        <w:rPr>
          <w:rFonts w:cstheme="minorHAnsi"/>
          <w:sz w:val="24"/>
          <w:szCs w:val="24"/>
        </w:rPr>
        <w:t xml:space="preserve">. </w:t>
      </w:r>
      <w:r w:rsidR="00253AB0">
        <w:rPr>
          <w:rFonts w:cstheme="minorHAnsi"/>
          <w:sz w:val="24"/>
          <w:szCs w:val="24"/>
        </w:rPr>
        <w:t xml:space="preserve"> </w:t>
      </w:r>
      <w:r w:rsidRPr="00AA2530">
        <w:rPr>
          <w:rFonts w:cstheme="minorHAnsi"/>
          <w:sz w:val="24"/>
          <w:szCs w:val="24"/>
        </w:rPr>
        <w:t>For crossings where</w:t>
      </w:r>
      <w:r>
        <w:rPr>
          <w:rFonts w:cstheme="minorHAnsi"/>
          <w:sz w:val="24"/>
          <w:szCs w:val="24"/>
        </w:rPr>
        <w:t xml:space="preserve"> the oil line is buried, AGDC proposes to construct the gas line in a berm crossing over the oil line. </w:t>
      </w:r>
      <w:r w:rsidR="00253A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berm would provide a minimum of 3 feet of cover </w:t>
      </w:r>
      <w:r w:rsidR="00DC1D8E">
        <w:rPr>
          <w:rFonts w:cstheme="minorHAnsi"/>
          <w:sz w:val="24"/>
          <w:szCs w:val="24"/>
        </w:rPr>
        <w:t>around</w:t>
      </w:r>
      <w:r>
        <w:rPr>
          <w:rFonts w:cstheme="minorHAnsi"/>
          <w:sz w:val="24"/>
          <w:szCs w:val="24"/>
        </w:rPr>
        <w:t xml:space="preserve"> the gas pipeline. </w:t>
      </w:r>
      <w:r w:rsidR="00253A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Where the oil line is elevated, the gas line would be buried at least 4 feet underground.</w:t>
      </w:r>
    </w:p>
    <w:p w14:paraId="052FB327" w14:textId="42D11D37" w:rsidR="006D6B28" w:rsidRDefault="008B42D2" w:rsidP="008B42D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project’s</w:t>
      </w:r>
      <w:r w:rsidR="00AA2530" w:rsidRPr="006D6B28">
        <w:rPr>
          <w:rFonts w:cstheme="minorHAnsi"/>
          <w:sz w:val="24"/>
          <w:szCs w:val="24"/>
        </w:rPr>
        <w:t xml:space="preserve"> air transport plan, detailing how </w:t>
      </w:r>
      <w:r w:rsidR="00DC1D8E">
        <w:rPr>
          <w:rFonts w:cstheme="minorHAnsi"/>
          <w:sz w:val="24"/>
          <w:szCs w:val="24"/>
        </w:rPr>
        <w:t>AGDC</w:t>
      </w:r>
      <w:r w:rsidR="00AA2530" w:rsidRPr="006D6B28">
        <w:rPr>
          <w:rFonts w:cstheme="minorHAnsi"/>
          <w:sz w:val="24"/>
          <w:szCs w:val="24"/>
        </w:rPr>
        <w:t xml:space="preserve"> proposes to move construction workers by aircraft along the project route. </w:t>
      </w:r>
      <w:r w:rsidR="00253AB0">
        <w:rPr>
          <w:rFonts w:cstheme="minorHAnsi"/>
          <w:sz w:val="24"/>
          <w:szCs w:val="24"/>
        </w:rPr>
        <w:t xml:space="preserve"> </w:t>
      </w:r>
      <w:r w:rsidR="00AA2530" w:rsidRPr="006D6B28">
        <w:rPr>
          <w:rFonts w:cstheme="minorHAnsi"/>
          <w:sz w:val="24"/>
          <w:szCs w:val="24"/>
        </w:rPr>
        <w:t xml:space="preserve">The </w:t>
      </w:r>
      <w:r w:rsidR="007417AA" w:rsidRPr="006D6B28">
        <w:rPr>
          <w:rFonts w:cstheme="minorHAnsi"/>
          <w:sz w:val="24"/>
          <w:szCs w:val="24"/>
        </w:rPr>
        <w:t xml:space="preserve">busiest airport, according to the plan, would be Fairbanks, with up to a dozen flights a day, each carrying between 77 and 144 people. </w:t>
      </w:r>
      <w:r w:rsidR="00253AB0">
        <w:rPr>
          <w:rFonts w:cstheme="minorHAnsi"/>
          <w:sz w:val="24"/>
          <w:szCs w:val="24"/>
        </w:rPr>
        <w:t xml:space="preserve"> </w:t>
      </w:r>
      <w:r w:rsidR="007417AA" w:rsidRPr="006D6B28">
        <w:rPr>
          <w:rFonts w:cstheme="minorHAnsi"/>
          <w:sz w:val="24"/>
          <w:szCs w:val="24"/>
        </w:rPr>
        <w:t xml:space="preserve">Other hub airports would be Anchorage, </w:t>
      </w:r>
      <w:proofErr w:type="spellStart"/>
      <w:r w:rsidR="007417AA" w:rsidRPr="006D6B28">
        <w:rPr>
          <w:rFonts w:cstheme="minorHAnsi"/>
          <w:sz w:val="24"/>
          <w:szCs w:val="24"/>
        </w:rPr>
        <w:t>Deadhorse</w:t>
      </w:r>
      <w:proofErr w:type="spellEnd"/>
      <w:r w:rsidR="00253AB0">
        <w:rPr>
          <w:rFonts w:cstheme="minorHAnsi"/>
          <w:sz w:val="24"/>
          <w:szCs w:val="24"/>
        </w:rPr>
        <w:t>,</w:t>
      </w:r>
      <w:r w:rsidR="007417AA" w:rsidRPr="006D6B28">
        <w:rPr>
          <w:rFonts w:cstheme="minorHAnsi"/>
          <w:sz w:val="24"/>
          <w:szCs w:val="24"/>
        </w:rPr>
        <w:t xml:space="preserve"> and Kenai.</w:t>
      </w:r>
    </w:p>
    <w:p w14:paraId="3A379EB6" w14:textId="77777777" w:rsidR="008B42D2" w:rsidRDefault="008B42D2" w:rsidP="008B42D2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2F9619E3" w14:textId="6B5A9BA6" w:rsidR="00DC1D8E" w:rsidRDefault="00DC1D8E" w:rsidP="00DC1D8E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="006D6B28" w:rsidRPr="008B42D2">
        <w:rPr>
          <w:rFonts w:cstheme="minorHAnsi"/>
          <w:sz w:val="24"/>
          <w:szCs w:val="24"/>
        </w:rPr>
        <w:t xml:space="preserve">FERC </w:t>
      </w:r>
      <w:r w:rsidR="008B42D2">
        <w:rPr>
          <w:rFonts w:cstheme="minorHAnsi"/>
          <w:sz w:val="24"/>
          <w:szCs w:val="24"/>
        </w:rPr>
        <w:t xml:space="preserve">also </w:t>
      </w:r>
      <w:r w:rsidR="006D6B28" w:rsidRPr="008B42D2">
        <w:rPr>
          <w:rFonts w:cstheme="minorHAnsi"/>
          <w:sz w:val="24"/>
          <w:szCs w:val="24"/>
        </w:rPr>
        <w:t xml:space="preserve">had asked how construction and operation of the pipeline and LNG terminal would affect salmon setnetters on </w:t>
      </w:r>
      <w:r w:rsidR="008B42D2">
        <w:rPr>
          <w:rFonts w:cstheme="minorHAnsi"/>
          <w:sz w:val="24"/>
          <w:szCs w:val="24"/>
        </w:rPr>
        <w:t>the west and east</w:t>
      </w:r>
      <w:r w:rsidR="006D6B28" w:rsidRPr="008B42D2">
        <w:rPr>
          <w:rFonts w:cstheme="minorHAnsi"/>
          <w:sz w:val="24"/>
          <w:szCs w:val="24"/>
        </w:rPr>
        <w:t xml:space="preserve"> sides of Cook Inlet. </w:t>
      </w:r>
      <w:r w:rsidR="00253AB0">
        <w:rPr>
          <w:rFonts w:cstheme="minorHAnsi"/>
          <w:sz w:val="24"/>
          <w:szCs w:val="24"/>
        </w:rPr>
        <w:t xml:space="preserve"> </w:t>
      </w:r>
      <w:r w:rsidR="006D6B28" w:rsidRPr="008B42D2">
        <w:rPr>
          <w:rFonts w:cstheme="minorHAnsi"/>
          <w:sz w:val="24"/>
          <w:szCs w:val="24"/>
        </w:rPr>
        <w:t>The state team said it “</w:t>
      </w:r>
      <w:r w:rsidR="000D4FDC" w:rsidRPr="008B42D2">
        <w:rPr>
          <w:rFonts w:cstheme="minorHAnsi"/>
          <w:sz w:val="24"/>
          <w:szCs w:val="24"/>
        </w:rPr>
        <w:t xml:space="preserve">will work with setnetters and the Alaska Department of Fish and Game to estimate measurable loss of harvest, if any, related to construction activities. </w:t>
      </w:r>
      <w:r w:rsidR="006D6B28" w:rsidRPr="008B42D2">
        <w:rPr>
          <w:rFonts w:cstheme="minorHAnsi"/>
          <w:sz w:val="24"/>
          <w:szCs w:val="24"/>
        </w:rPr>
        <w:t>… M</w:t>
      </w:r>
      <w:r w:rsidR="000D4FDC" w:rsidRPr="008B42D2">
        <w:rPr>
          <w:rFonts w:cstheme="minorHAnsi"/>
          <w:sz w:val="24"/>
          <w:szCs w:val="24"/>
        </w:rPr>
        <w:t>itigation compensation would be based on the estimated lost harvest, as agreed to by both parties.</w:t>
      </w:r>
      <w:r w:rsidR="006D6B28" w:rsidRPr="008B42D2">
        <w:rPr>
          <w:rFonts w:cstheme="minorHAnsi"/>
          <w:sz w:val="24"/>
          <w:szCs w:val="24"/>
        </w:rPr>
        <w:t>”</w:t>
      </w:r>
    </w:p>
    <w:p w14:paraId="4380A42C" w14:textId="0E1212E3" w:rsidR="00DC1D8E" w:rsidRDefault="006D6B28" w:rsidP="00DC1D8E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8B42D2">
        <w:rPr>
          <w:rFonts w:cstheme="minorHAnsi"/>
          <w:sz w:val="24"/>
          <w:szCs w:val="24"/>
        </w:rPr>
        <w:t>AGDC acknowledged that c</w:t>
      </w:r>
      <w:r w:rsidR="000D4FDC" w:rsidRPr="008B42D2">
        <w:rPr>
          <w:rFonts w:cstheme="minorHAnsi"/>
          <w:sz w:val="24"/>
          <w:szCs w:val="24"/>
        </w:rPr>
        <w:t xml:space="preserve">ommercial salmon setnetters </w:t>
      </w:r>
      <w:r w:rsidRPr="008B42D2">
        <w:rPr>
          <w:rFonts w:cstheme="minorHAnsi"/>
          <w:sz w:val="24"/>
          <w:szCs w:val="24"/>
        </w:rPr>
        <w:t>with leases at the LNG plant site and marine terminal “</w:t>
      </w:r>
      <w:r w:rsidR="000D4FDC" w:rsidRPr="008B42D2">
        <w:rPr>
          <w:rFonts w:cstheme="minorHAnsi"/>
          <w:sz w:val="24"/>
          <w:szCs w:val="24"/>
        </w:rPr>
        <w:t xml:space="preserve">will lose fishing opportunity at those specific sites due to </w:t>
      </w:r>
      <w:r w:rsidRPr="008B42D2">
        <w:rPr>
          <w:rFonts w:cstheme="minorHAnsi"/>
          <w:sz w:val="24"/>
          <w:szCs w:val="24"/>
        </w:rPr>
        <w:t>p</w:t>
      </w:r>
      <w:r w:rsidR="000D4FDC" w:rsidRPr="008B42D2">
        <w:rPr>
          <w:rFonts w:cstheme="minorHAnsi"/>
          <w:sz w:val="24"/>
          <w:szCs w:val="24"/>
        </w:rPr>
        <w:t>lant construction and operation.</w:t>
      </w:r>
      <w:r w:rsidRPr="008B42D2">
        <w:rPr>
          <w:rFonts w:cstheme="minorHAnsi"/>
          <w:sz w:val="24"/>
          <w:szCs w:val="24"/>
        </w:rPr>
        <w:t xml:space="preserve"> … </w:t>
      </w:r>
      <w:r w:rsidR="000D4FDC" w:rsidRPr="008B42D2">
        <w:rPr>
          <w:rFonts w:cstheme="minorHAnsi"/>
          <w:sz w:val="24"/>
          <w:szCs w:val="24"/>
        </w:rPr>
        <w:t xml:space="preserve">AGDC will work with impacted setnetters and the State of Alaska to provide reasonable alternate beach access locations and alternate fishing sites. </w:t>
      </w:r>
      <w:r w:rsidR="00253AB0">
        <w:rPr>
          <w:rFonts w:cstheme="minorHAnsi"/>
          <w:sz w:val="24"/>
          <w:szCs w:val="24"/>
        </w:rPr>
        <w:t xml:space="preserve"> </w:t>
      </w:r>
      <w:r w:rsidR="000D4FDC" w:rsidRPr="008B42D2">
        <w:rPr>
          <w:rFonts w:cstheme="minorHAnsi"/>
          <w:sz w:val="24"/>
          <w:szCs w:val="24"/>
        </w:rPr>
        <w:t>If no reasonable alternative can be identified, AGDC will work with individual setnetters to determine the appropriate amount of monetary compensation for salmon harvest loss or loss of access to a shore fishery lease.</w:t>
      </w:r>
      <w:r w:rsidR="008B42D2">
        <w:rPr>
          <w:rFonts w:cstheme="minorHAnsi"/>
          <w:sz w:val="24"/>
          <w:szCs w:val="24"/>
        </w:rPr>
        <w:t>”</w:t>
      </w:r>
    </w:p>
    <w:p w14:paraId="52ACB6CF" w14:textId="77777777" w:rsidR="00DC1D8E" w:rsidRDefault="000D4FDC" w:rsidP="00DC1D8E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8B42D2">
        <w:rPr>
          <w:rFonts w:cstheme="minorHAnsi"/>
          <w:sz w:val="24"/>
          <w:szCs w:val="24"/>
        </w:rPr>
        <w:t xml:space="preserve">Several factors will be considered to determine </w:t>
      </w:r>
      <w:r w:rsidR="008B42D2">
        <w:rPr>
          <w:rFonts w:cstheme="minorHAnsi"/>
          <w:sz w:val="24"/>
          <w:szCs w:val="24"/>
        </w:rPr>
        <w:t>“</w:t>
      </w:r>
      <w:r w:rsidRPr="008B42D2">
        <w:rPr>
          <w:rFonts w:cstheme="minorHAnsi"/>
          <w:sz w:val="24"/>
          <w:szCs w:val="24"/>
        </w:rPr>
        <w:t>the appropriate compensation including individual permit harvest history, terms of the shore fishery lease, and whether the damage is temporary or permanent</w:t>
      </w:r>
      <w:r w:rsidR="008B42D2">
        <w:rPr>
          <w:rFonts w:cstheme="minorHAnsi"/>
          <w:sz w:val="24"/>
          <w:szCs w:val="24"/>
        </w:rPr>
        <w:t xml:space="preserve">,” AGDC </w:t>
      </w:r>
      <w:r w:rsidR="00DC1D8E">
        <w:rPr>
          <w:rFonts w:cstheme="minorHAnsi"/>
          <w:sz w:val="24"/>
          <w:szCs w:val="24"/>
        </w:rPr>
        <w:t>said</w:t>
      </w:r>
      <w:r w:rsidR="008B42D2">
        <w:rPr>
          <w:rFonts w:cstheme="minorHAnsi"/>
          <w:sz w:val="24"/>
          <w:szCs w:val="24"/>
        </w:rPr>
        <w:t>.</w:t>
      </w:r>
    </w:p>
    <w:p w14:paraId="61E2E2DE" w14:textId="14327593" w:rsidR="00DC1D8E" w:rsidRDefault="008B42D2" w:rsidP="00DC1D8E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its May filings, AG</w:t>
      </w:r>
      <w:r w:rsidR="006D6B28" w:rsidRPr="008B42D2">
        <w:rPr>
          <w:rFonts w:cstheme="minorHAnsi"/>
          <w:sz w:val="24"/>
          <w:szCs w:val="24"/>
        </w:rPr>
        <w:t xml:space="preserve">DC provided FERC with a list of permits and authorizations required for the project with anticipated receipt dates for the </w:t>
      </w:r>
      <w:r w:rsidR="00D81678" w:rsidRPr="008B42D2">
        <w:rPr>
          <w:rFonts w:cstheme="minorHAnsi"/>
          <w:sz w:val="24"/>
          <w:szCs w:val="24"/>
        </w:rPr>
        <w:t xml:space="preserve">approvals. </w:t>
      </w:r>
      <w:r w:rsidR="00253AB0">
        <w:rPr>
          <w:rFonts w:cstheme="minorHAnsi"/>
          <w:sz w:val="24"/>
          <w:szCs w:val="24"/>
        </w:rPr>
        <w:t xml:space="preserve"> </w:t>
      </w:r>
      <w:r w:rsidR="00D81678" w:rsidRPr="008B42D2">
        <w:rPr>
          <w:rFonts w:cstheme="minorHAnsi"/>
          <w:sz w:val="24"/>
          <w:szCs w:val="24"/>
        </w:rPr>
        <w:t xml:space="preserve">Most of the major approvals </w:t>
      </w:r>
      <w:r w:rsidR="00D81678" w:rsidRPr="008B42D2">
        <w:rPr>
          <w:rFonts w:cstheme="minorHAnsi"/>
          <w:sz w:val="24"/>
          <w:szCs w:val="24"/>
        </w:rPr>
        <w:lastRenderedPageBreak/>
        <w:t>are expected later in 2020, such as the U.S. Army Corps of Engineers Clean Water Act permit, Environmental Protection Agency, Bureau of Land Management</w:t>
      </w:r>
      <w:r w:rsidR="00253AB0">
        <w:rPr>
          <w:rFonts w:cstheme="minorHAnsi"/>
          <w:sz w:val="24"/>
          <w:szCs w:val="24"/>
        </w:rPr>
        <w:t>,</w:t>
      </w:r>
      <w:r w:rsidR="00D81678" w:rsidRPr="008B42D2">
        <w:rPr>
          <w:rFonts w:cstheme="minorHAnsi"/>
          <w:sz w:val="24"/>
          <w:szCs w:val="24"/>
        </w:rPr>
        <w:t xml:space="preserve"> and U.S. Fish and Wildlife Service approvals.</w:t>
      </w:r>
    </w:p>
    <w:p w14:paraId="317A6DF6" w14:textId="4079853A" w:rsidR="000D4FDC" w:rsidRPr="00DC1D8E" w:rsidRDefault="00D81678" w:rsidP="00253AB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8B42D2">
        <w:rPr>
          <w:rFonts w:cstheme="minorHAnsi"/>
          <w:sz w:val="24"/>
          <w:szCs w:val="24"/>
        </w:rPr>
        <w:t>The state project team said it expects to file permit requests in the third quarter of 2020 with the North Slope, Fairbanks, Denali, Matanuska-Susitna</w:t>
      </w:r>
      <w:r w:rsidR="00253AB0">
        <w:rPr>
          <w:rFonts w:cstheme="minorHAnsi"/>
          <w:sz w:val="24"/>
          <w:szCs w:val="24"/>
        </w:rPr>
        <w:t>,</w:t>
      </w:r>
      <w:r w:rsidRPr="008B42D2">
        <w:rPr>
          <w:rFonts w:cstheme="minorHAnsi"/>
          <w:sz w:val="24"/>
          <w:szCs w:val="24"/>
        </w:rPr>
        <w:t xml:space="preserve"> and Kenai Peninsula boroughs. </w:t>
      </w:r>
      <w:r w:rsidR="00253AB0">
        <w:rPr>
          <w:rFonts w:cstheme="minorHAnsi"/>
          <w:sz w:val="24"/>
          <w:szCs w:val="24"/>
        </w:rPr>
        <w:t xml:space="preserve"> </w:t>
      </w:r>
      <w:r w:rsidRPr="008B42D2">
        <w:rPr>
          <w:rFonts w:cstheme="minorHAnsi"/>
          <w:sz w:val="24"/>
          <w:szCs w:val="24"/>
        </w:rPr>
        <w:t>Those would include land-use, waste-disposal, utility, floodplain management, gravel sites</w:t>
      </w:r>
      <w:r w:rsidR="00253AB0">
        <w:rPr>
          <w:rFonts w:cstheme="minorHAnsi"/>
          <w:sz w:val="24"/>
          <w:szCs w:val="24"/>
        </w:rPr>
        <w:t>,</w:t>
      </w:r>
      <w:r w:rsidRPr="008B42D2">
        <w:rPr>
          <w:rFonts w:cstheme="minorHAnsi"/>
          <w:sz w:val="24"/>
          <w:szCs w:val="24"/>
        </w:rPr>
        <w:t xml:space="preserve"> and right-of-way permits.</w:t>
      </w:r>
    </w:p>
    <w:sectPr w:rsidR="000D4FDC" w:rsidRPr="00DC1D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2FE53" w14:textId="77777777" w:rsidR="00E26ABB" w:rsidRDefault="00E26ABB" w:rsidP="008C21F0">
      <w:pPr>
        <w:spacing w:after="0" w:line="240" w:lineRule="auto"/>
      </w:pPr>
      <w:r>
        <w:separator/>
      </w:r>
    </w:p>
  </w:endnote>
  <w:endnote w:type="continuationSeparator" w:id="0">
    <w:p w14:paraId="1870ECB0" w14:textId="77777777" w:rsidR="00E26ABB" w:rsidRDefault="00E26ABB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37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57C911" w14:textId="15557595" w:rsidR="00D927E1" w:rsidRDefault="00D927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853D6E" w:rsidRDefault="00853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A59D" w14:textId="77777777" w:rsidR="00E26ABB" w:rsidRDefault="00E26ABB" w:rsidP="008C21F0">
      <w:pPr>
        <w:spacing w:after="0" w:line="240" w:lineRule="auto"/>
      </w:pPr>
      <w:r>
        <w:separator/>
      </w:r>
    </w:p>
  </w:footnote>
  <w:footnote w:type="continuationSeparator" w:id="0">
    <w:p w14:paraId="18131FE2" w14:textId="77777777" w:rsidR="00E26ABB" w:rsidRDefault="00E26ABB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500"/>
    <w:multiLevelType w:val="hybridMultilevel"/>
    <w:tmpl w:val="194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B77"/>
    <w:multiLevelType w:val="hybridMultilevel"/>
    <w:tmpl w:val="AF40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30CF"/>
    <w:multiLevelType w:val="hybridMultilevel"/>
    <w:tmpl w:val="799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592"/>
    <w:multiLevelType w:val="hybridMultilevel"/>
    <w:tmpl w:val="7554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78E2"/>
    <w:multiLevelType w:val="hybridMultilevel"/>
    <w:tmpl w:val="8050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250B6"/>
    <w:multiLevelType w:val="hybridMultilevel"/>
    <w:tmpl w:val="25B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5A4C"/>
    <w:multiLevelType w:val="hybridMultilevel"/>
    <w:tmpl w:val="1BB8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077C3"/>
    <w:multiLevelType w:val="hybridMultilevel"/>
    <w:tmpl w:val="677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97558"/>
    <w:multiLevelType w:val="hybridMultilevel"/>
    <w:tmpl w:val="242C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44445"/>
    <w:multiLevelType w:val="hybridMultilevel"/>
    <w:tmpl w:val="B6C4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4244"/>
    <w:multiLevelType w:val="hybridMultilevel"/>
    <w:tmpl w:val="F4B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F1195"/>
    <w:multiLevelType w:val="hybridMultilevel"/>
    <w:tmpl w:val="70B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02EEF"/>
    <w:rsid w:val="00011439"/>
    <w:rsid w:val="00012D7E"/>
    <w:rsid w:val="00012FFD"/>
    <w:rsid w:val="0001516E"/>
    <w:rsid w:val="00015231"/>
    <w:rsid w:val="00020A4C"/>
    <w:rsid w:val="00023193"/>
    <w:rsid w:val="000245E8"/>
    <w:rsid w:val="0002616F"/>
    <w:rsid w:val="000277FF"/>
    <w:rsid w:val="0002781F"/>
    <w:rsid w:val="000318F6"/>
    <w:rsid w:val="00031FD5"/>
    <w:rsid w:val="00040193"/>
    <w:rsid w:val="00041A4F"/>
    <w:rsid w:val="000469A3"/>
    <w:rsid w:val="00051BD3"/>
    <w:rsid w:val="00051FA0"/>
    <w:rsid w:val="00053ABA"/>
    <w:rsid w:val="0006164A"/>
    <w:rsid w:val="00061977"/>
    <w:rsid w:val="000705B0"/>
    <w:rsid w:val="00070AC4"/>
    <w:rsid w:val="00071246"/>
    <w:rsid w:val="00073423"/>
    <w:rsid w:val="000749D0"/>
    <w:rsid w:val="000752E6"/>
    <w:rsid w:val="000823B2"/>
    <w:rsid w:val="0008302F"/>
    <w:rsid w:val="00086337"/>
    <w:rsid w:val="00090757"/>
    <w:rsid w:val="00090EBF"/>
    <w:rsid w:val="00091C74"/>
    <w:rsid w:val="00094ECC"/>
    <w:rsid w:val="00095740"/>
    <w:rsid w:val="000A03CC"/>
    <w:rsid w:val="000A5649"/>
    <w:rsid w:val="000A6231"/>
    <w:rsid w:val="000B7753"/>
    <w:rsid w:val="000C1ECA"/>
    <w:rsid w:val="000C2346"/>
    <w:rsid w:val="000C4DBB"/>
    <w:rsid w:val="000C723A"/>
    <w:rsid w:val="000C7D4F"/>
    <w:rsid w:val="000D021E"/>
    <w:rsid w:val="000D0991"/>
    <w:rsid w:val="000D4FDC"/>
    <w:rsid w:val="000D5F71"/>
    <w:rsid w:val="000E7CE3"/>
    <w:rsid w:val="000F209E"/>
    <w:rsid w:val="000F47F6"/>
    <w:rsid w:val="000F5B5C"/>
    <w:rsid w:val="00100B04"/>
    <w:rsid w:val="0010410F"/>
    <w:rsid w:val="00104B8A"/>
    <w:rsid w:val="001130D7"/>
    <w:rsid w:val="00117C7C"/>
    <w:rsid w:val="00135333"/>
    <w:rsid w:val="0013739D"/>
    <w:rsid w:val="0014147E"/>
    <w:rsid w:val="00143202"/>
    <w:rsid w:val="00144D0B"/>
    <w:rsid w:val="00146030"/>
    <w:rsid w:val="00151DE0"/>
    <w:rsid w:val="00152202"/>
    <w:rsid w:val="00152C07"/>
    <w:rsid w:val="00155A01"/>
    <w:rsid w:val="00165AA0"/>
    <w:rsid w:val="0017062D"/>
    <w:rsid w:val="00171867"/>
    <w:rsid w:val="001730DF"/>
    <w:rsid w:val="00175431"/>
    <w:rsid w:val="0017621F"/>
    <w:rsid w:val="001765C0"/>
    <w:rsid w:val="001835EC"/>
    <w:rsid w:val="00186594"/>
    <w:rsid w:val="0019595D"/>
    <w:rsid w:val="001B030F"/>
    <w:rsid w:val="001B1C9A"/>
    <w:rsid w:val="001B4896"/>
    <w:rsid w:val="001B55DE"/>
    <w:rsid w:val="001B5887"/>
    <w:rsid w:val="001C1C54"/>
    <w:rsid w:val="001C21C1"/>
    <w:rsid w:val="001D243A"/>
    <w:rsid w:val="001E2F47"/>
    <w:rsid w:val="001E3A32"/>
    <w:rsid w:val="001E79F3"/>
    <w:rsid w:val="001F070D"/>
    <w:rsid w:val="001F696E"/>
    <w:rsid w:val="0020066C"/>
    <w:rsid w:val="00200F56"/>
    <w:rsid w:val="00203762"/>
    <w:rsid w:val="0020521D"/>
    <w:rsid w:val="00212061"/>
    <w:rsid w:val="00216029"/>
    <w:rsid w:val="002203C9"/>
    <w:rsid w:val="00224220"/>
    <w:rsid w:val="002248D2"/>
    <w:rsid w:val="002260B4"/>
    <w:rsid w:val="0023483F"/>
    <w:rsid w:val="00240935"/>
    <w:rsid w:val="00241DA1"/>
    <w:rsid w:val="00243300"/>
    <w:rsid w:val="002463A2"/>
    <w:rsid w:val="002538B9"/>
    <w:rsid w:val="00253AB0"/>
    <w:rsid w:val="002626D7"/>
    <w:rsid w:val="002627DF"/>
    <w:rsid w:val="00263517"/>
    <w:rsid w:val="00264053"/>
    <w:rsid w:val="00264A2A"/>
    <w:rsid w:val="00271350"/>
    <w:rsid w:val="00271809"/>
    <w:rsid w:val="002739F5"/>
    <w:rsid w:val="002811C4"/>
    <w:rsid w:val="00282260"/>
    <w:rsid w:val="002844E8"/>
    <w:rsid w:val="002848F4"/>
    <w:rsid w:val="00284B53"/>
    <w:rsid w:val="00286BDC"/>
    <w:rsid w:val="002937C0"/>
    <w:rsid w:val="00293D75"/>
    <w:rsid w:val="00294CAC"/>
    <w:rsid w:val="00297D4A"/>
    <w:rsid w:val="002A1426"/>
    <w:rsid w:val="002A31FA"/>
    <w:rsid w:val="002B1673"/>
    <w:rsid w:val="002B288D"/>
    <w:rsid w:val="002B3A1F"/>
    <w:rsid w:val="002B77E2"/>
    <w:rsid w:val="002C13BE"/>
    <w:rsid w:val="002D21CB"/>
    <w:rsid w:val="002D39F2"/>
    <w:rsid w:val="002D50DE"/>
    <w:rsid w:val="002D6D80"/>
    <w:rsid w:val="002D7AB5"/>
    <w:rsid w:val="002E0B18"/>
    <w:rsid w:val="002F1302"/>
    <w:rsid w:val="002F16C8"/>
    <w:rsid w:val="002F3AC6"/>
    <w:rsid w:val="002F5DF6"/>
    <w:rsid w:val="002F7110"/>
    <w:rsid w:val="0030097D"/>
    <w:rsid w:val="00300F3C"/>
    <w:rsid w:val="003141C3"/>
    <w:rsid w:val="00314929"/>
    <w:rsid w:val="003157E1"/>
    <w:rsid w:val="0031602E"/>
    <w:rsid w:val="0032176B"/>
    <w:rsid w:val="00322428"/>
    <w:rsid w:val="00322581"/>
    <w:rsid w:val="00326CE0"/>
    <w:rsid w:val="00332B0D"/>
    <w:rsid w:val="003337E1"/>
    <w:rsid w:val="00333816"/>
    <w:rsid w:val="00334ADD"/>
    <w:rsid w:val="00334CB3"/>
    <w:rsid w:val="003436AD"/>
    <w:rsid w:val="003518E0"/>
    <w:rsid w:val="003527AC"/>
    <w:rsid w:val="003531E4"/>
    <w:rsid w:val="00356579"/>
    <w:rsid w:val="003630E8"/>
    <w:rsid w:val="003638EE"/>
    <w:rsid w:val="003660AC"/>
    <w:rsid w:val="00366A1F"/>
    <w:rsid w:val="00367BD6"/>
    <w:rsid w:val="003703DD"/>
    <w:rsid w:val="00373380"/>
    <w:rsid w:val="00374D64"/>
    <w:rsid w:val="00375379"/>
    <w:rsid w:val="0037651D"/>
    <w:rsid w:val="00376C95"/>
    <w:rsid w:val="00381CBC"/>
    <w:rsid w:val="003821A2"/>
    <w:rsid w:val="003854A1"/>
    <w:rsid w:val="00386D65"/>
    <w:rsid w:val="003874C6"/>
    <w:rsid w:val="00394E85"/>
    <w:rsid w:val="0039552A"/>
    <w:rsid w:val="0039576F"/>
    <w:rsid w:val="003A73EE"/>
    <w:rsid w:val="003B1E7F"/>
    <w:rsid w:val="003B221F"/>
    <w:rsid w:val="003C2A47"/>
    <w:rsid w:val="003C6C3D"/>
    <w:rsid w:val="003D4391"/>
    <w:rsid w:val="003D69AA"/>
    <w:rsid w:val="003D7150"/>
    <w:rsid w:val="003E4360"/>
    <w:rsid w:val="003E5949"/>
    <w:rsid w:val="003E7014"/>
    <w:rsid w:val="003E7228"/>
    <w:rsid w:val="004021D5"/>
    <w:rsid w:val="00402B9B"/>
    <w:rsid w:val="00407E59"/>
    <w:rsid w:val="00410E50"/>
    <w:rsid w:val="00412026"/>
    <w:rsid w:val="00412DF8"/>
    <w:rsid w:val="00415B62"/>
    <w:rsid w:val="00416400"/>
    <w:rsid w:val="004252FF"/>
    <w:rsid w:val="004258AE"/>
    <w:rsid w:val="00425F11"/>
    <w:rsid w:val="00426A93"/>
    <w:rsid w:val="00426D95"/>
    <w:rsid w:val="00430C4F"/>
    <w:rsid w:val="00431ABC"/>
    <w:rsid w:val="00432360"/>
    <w:rsid w:val="00433E25"/>
    <w:rsid w:val="00434CF8"/>
    <w:rsid w:val="00434E2B"/>
    <w:rsid w:val="00444409"/>
    <w:rsid w:val="00445326"/>
    <w:rsid w:val="0045349B"/>
    <w:rsid w:val="00453D03"/>
    <w:rsid w:val="0045507E"/>
    <w:rsid w:val="00460CB1"/>
    <w:rsid w:val="00465DBE"/>
    <w:rsid w:val="004661B8"/>
    <w:rsid w:val="004721F7"/>
    <w:rsid w:val="00475488"/>
    <w:rsid w:val="0047737A"/>
    <w:rsid w:val="004774F7"/>
    <w:rsid w:val="00490A00"/>
    <w:rsid w:val="0049679A"/>
    <w:rsid w:val="004A2F2B"/>
    <w:rsid w:val="004B6587"/>
    <w:rsid w:val="004B7258"/>
    <w:rsid w:val="004C49A2"/>
    <w:rsid w:val="004C59DC"/>
    <w:rsid w:val="004C6096"/>
    <w:rsid w:val="004D0938"/>
    <w:rsid w:val="004D0A7A"/>
    <w:rsid w:val="004D5010"/>
    <w:rsid w:val="004D7B4C"/>
    <w:rsid w:val="004E3F1E"/>
    <w:rsid w:val="004E6D42"/>
    <w:rsid w:val="004E70D8"/>
    <w:rsid w:val="004F0D47"/>
    <w:rsid w:val="004F71F5"/>
    <w:rsid w:val="00500F19"/>
    <w:rsid w:val="00502928"/>
    <w:rsid w:val="00503676"/>
    <w:rsid w:val="005039BF"/>
    <w:rsid w:val="0052093C"/>
    <w:rsid w:val="00520B1E"/>
    <w:rsid w:val="00533008"/>
    <w:rsid w:val="005355B7"/>
    <w:rsid w:val="00553D37"/>
    <w:rsid w:val="00560434"/>
    <w:rsid w:val="00564B57"/>
    <w:rsid w:val="00567120"/>
    <w:rsid w:val="00570BAA"/>
    <w:rsid w:val="0057408A"/>
    <w:rsid w:val="00587BD1"/>
    <w:rsid w:val="00591727"/>
    <w:rsid w:val="0059440F"/>
    <w:rsid w:val="005952D5"/>
    <w:rsid w:val="00596668"/>
    <w:rsid w:val="005A1849"/>
    <w:rsid w:val="005A5286"/>
    <w:rsid w:val="005A6851"/>
    <w:rsid w:val="005B1B4A"/>
    <w:rsid w:val="005B5322"/>
    <w:rsid w:val="005C5BF9"/>
    <w:rsid w:val="005D07F8"/>
    <w:rsid w:val="005D321D"/>
    <w:rsid w:val="005D789B"/>
    <w:rsid w:val="005E0314"/>
    <w:rsid w:val="005E156B"/>
    <w:rsid w:val="005F1BD3"/>
    <w:rsid w:val="005F3A82"/>
    <w:rsid w:val="005F7516"/>
    <w:rsid w:val="006057FE"/>
    <w:rsid w:val="00605A79"/>
    <w:rsid w:val="006158D5"/>
    <w:rsid w:val="00621F24"/>
    <w:rsid w:val="006232CA"/>
    <w:rsid w:val="00624BCC"/>
    <w:rsid w:val="00626910"/>
    <w:rsid w:val="00626A11"/>
    <w:rsid w:val="0063110D"/>
    <w:rsid w:val="00642A25"/>
    <w:rsid w:val="00643A8A"/>
    <w:rsid w:val="006550A0"/>
    <w:rsid w:val="00657B31"/>
    <w:rsid w:val="00664345"/>
    <w:rsid w:val="00664C56"/>
    <w:rsid w:val="00670858"/>
    <w:rsid w:val="00671721"/>
    <w:rsid w:val="00672F16"/>
    <w:rsid w:val="0067357D"/>
    <w:rsid w:val="00682853"/>
    <w:rsid w:val="006837DF"/>
    <w:rsid w:val="00684ED6"/>
    <w:rsid w:val="00684EEB"/>
    <w:rsid w:val="0069114E"/>
    <w:rsid w:val="00691242"/>
    <w:rsid w:val="0069222E"/>
    <w:rsid w:val="006953DA"/>
    <w:rsid w:val="006A0EBA"/>
    <w:rsid w:val="006A13DA"/>
    <w:rsid w:val="006A49C4"/>
    <w:rsid w:val="006A4F8B"/>
    <w:rsid w:val="006B47F0"/>
    <w:rsid w:val="006B66AA"/>
    <w:rsid w:val="006C2B9D"/>
    <w:rsid w:val="006C4124"/>
    <w:rsid w:val="006C7ED0"/>
    <w:rsid w:val="006D3CFA"/>
    <w:rsid w:val="006D4C8D"/>
    <w:rsid w:val="006D6A76"/>
    <w:rsid w:val="006D6B28"/>
    <w:rsid w:val="006D6F07"/>
    <w:rsid w:val="006E4414"/>
    <w:rsid w:val="006E5E9D"/>
    <w:rsid w:val="006F25DB"/>
    <w:rsid w:val="006F420B"/>
    <w:rsid w:val="006F4BC6"/>
    <w:rsid w:val="006F4F53"/>
    <w:rsid w:val="006F6F9F"/>
    <w:rsid w:val="006F7A00"/>
    <w:rsid w:val="00705F2D"/>
    <w:rsid w:val="007112DD"/>
    <w:rsid w:val="00712E97"/>
    <w:rsid w:val="00724362"/>
    <w:rsid w:val="00724FEE"/>
    <w:rsid w:val="007270BF"/>
    <w:rsid w:val="00732C1C"/>
    <w:rsid w:val="00737FEB"/>
    <w:rsid w:val="0074110A"/>
    <w:rsid w:val="007417AA"/>
    <w:rsid w:val="0074461B"/>
    <w:rsid w:val="00745FDB"/>
    <w:rsid w:val="00747A86"/>
    <w:rsid w:val="007555C5"/>
    <w:rsid w:val="00763C54"/>
    <w:rsid w:val="00764935"/>
    <w:rsid w:val="00764F57"/>
    <w:rsid w:val="007652F2"/>
    <w:rsid w:val="00766A57"/>
    <w:rsid w:val="00770965"/>
    <w:rsid w:val="007848A4"/>
    <w:rsid w:val="007926B6"/>
    <w:rsid w:val="0079570E"/>
    <w:rsid w:val="00796AD5"/>
    <w:rsid w:val="007A0BCB"/>
    <w:rsid w:val="007A6288"/>
    <w:rsid w:val="007B078F"/>
    <w:rsid w:val="007B3152"/>
    <w:rsid w:val="007B5797"/>
    <w:rsid w:val="007B679F"/>
    <w:rsid w:val="007C4FD0"/>
    <w:rsid w:val="007C6711"/>
    <w:rsid w:val="007C73D5"/>
    <w:rsid w:val="007D0335"/>
    <w:rsid w:val="007D29A8"/>
    <w:rsid w:val="007D3C1A"/>
    <w:rsid w:val="007D4FA6"/>
    <w:rsid w:val="007D6D31"/>
    <w:rsid w:val="007D71BF"/>
    <w:rsid w:val="007D78BD"/>
    <w:rsid w:val="007E00F7"/>
    <w:rsid w:val="007E6750"/>
    <w:rsid w:val="007F178F"/>
    <w:rsid w:val="007F52BC"/>
    <w:rsid w:val="00801493"/>
    <w:rsid w:val="0080312F"/>
    <w:rsid w:val="00806711"/>
    <w:rsid w:val="0080680B"/>
    <w:rsid w:val="00810491"/>
    <w:rsid w:val="008113AE"/>
    <w:rsid w:val="00812ABE"/>
    <w:rsid w:val="00813649"/>
    <w:rsid w:val="008148F8"/>
    <w:rsid w:val="008169B1"/>
    <w:rsid w:val="00816A9A"/>
    <w:rsid w:val="00821EA5"/>
    <w:rsid w:val="00824266"/>
    <w:rsid w:val="00825747"/>
    <w:rsid w:val="00831674"/>
    <w:rsid w:val="008324E4"/>
    <w:rsid w:val="0084096D"/>
    <w:rsid w:val="00841388"/>
    <w:rsid w:val="00841D74"/>
    <w:rsid w:val="00841F50"/>
    <w:rsid w:val="00842B0E"/>
    <w:rsid w:val="00842BD4"/>
    <w:rsid w:val="00843416"/>
    <w:rsid w:val="00850284"/>
    <w:rsid w:val="00853D6E"/>
    <w:rsid w:val="00854413"/>
    <w:rsid w:val="00854C34"/>
    <w:rsid w:val="00856335"/>
    <w:rsid w:val="00861BA4"/>
    <w:rsid w:val="008638B7"/>
    <w:rsid w:val="00863D13"/>
    <w:rsid w:val="00865246"/>
    <w:rsid w:val="00872B3E"/>
    <w:rsid w:val="00873690"/>
    <w:rsid w:val="00886331"/>
    <w:rsid w:val="008907FC"/>
    <w:rsid w:val="008941D9"/>
    <w:rsid w:val="0089707F"/>
    <w:rsid w:val="008A0914"/>
    <w:rsid w:val="008A276A"/>
    <w:rsid w:val="008A4F1B"/>
    <w:rsid w:val="008A7EAB"/>
    <w:rsid w:val="008B2916"/>
    <w:rsid w:val="008B3AED"/>
    <w:rsid w:val="008B3D74"/>
    <w:rsid w:val="008B42D2"/>
    <w:rsid w:val="008C0054"/>
    <w:rsid w:val="008C21F0"/>
    <w:rsid w:val="008C3469"/>
    <w:rsid w:val="008C4B97"/>
    <w:rsid w:val="008D0FD4"/>
    <w:rsid w:val="008D20FC"/>
    <w:rsid w:val="008D51C1"/>
    <w:rsid w:val="008D66BF"/>
    <w:rsid w:val="008D694B"/>
    <w:rsid w:val="008D7567"/>
    <w:rsid w:val="008D7E8E"/>
    <w:rsid w:val="008E0B9A"/>
    <w:rsid w:val="008E21B7"/>
    <w:rsid w:val="008E370E"/>
    <w:rsid w:val="008F3AA3"/>
    <w:rsid w:val="008F5110"/>
    <w:rsid w:val="008F5E04"/>
    <w:rsid w:val="008F7873"/>
    <w:rsid w:val="00903CF1"/>
    <w:rsid w:val="0090565A"/>
    <w:rsid w:val="00907F0C"/>
    <w:rsid w:val="009122F8"/>
    <w:rsid w:val="00912940"/>
    <w:rsid w:val="009138BA"/>
    <w:rsid w:val="00913A05"/>
    <w:rsid w:val="00921606"/>
    <w:rsid w:val="00925B71"/>
    <w:rsid w:val="00930019"/>
    <w:rsid w:val="009325CF"/>
    <w:rsid w:val="009329CC"/>
    <w:rsid w:val="009353B1"/>
    <w:rsid w:val="00941804"/>
    <w:rsid w:val="009468AB"/>
    <w:rsid w:val="00946C66"/>
    <w:rsid w:val="00950D01"/>
    <w:rsid w:val="0097076C"/>
    <w:rsid w:val="009729B6"/>
    <w:rsid w:val="00975B36"/>
    <w:rsid w:val="0098189F"/>
    <w:rsid w:val="00981C8C"/>
    <w:rsid w:val="009903FD"/>
    <w:rsid w:val="0099068F"/>
    <w:rsid w:val="00990A19"/>
    <w:rsid w:val="00990E9F"/>
    <w:rsid w:val="009930DA"/>
    <w:rsid w:val="009964F9"/>
    <w:rsid w:val="009A1190"/>
    <w:rsid w:val="009B0E0D"/>
    <w:rsid w:val="009C154E"/>
    <w:rsid w:val="009C1BE6"/>
    <w:rsid w:val="009C1D54"/>
    <w:rsid w:val="009C5243"/>
    <w:rsid w:val="009D13C4"/>
    <w:rsid w:val="009D619B"/>
    <w:rsid w:val="009D69C3"/>
    <w:rsid w:val="009E4E52"/>
    <w:rsid w:val="009E5036"/>
    <w:rsid w:val="009F0FE7"/>
    <w:rsid w:val="009F305E"/>
    <w:rsid w:val="009F3873"/>
    <w:rsid w:val="00A00B88"/>
    <w:rsid w:val="00A01AE7"/>
    <w:rsid w:val="00A04298"/>
    <w:rsid w:val="00A121AC"/>
    <w:rsid w:val="00A13648"/>
    <w:rsid w:val="00A1598A"/>
    <w:rsid w:val="00A23FB7"/>
    <w:rsid w:val="00A26235"/>
    <w:rsid w:val="00A346E1"/>
    <w:rsid w:val="00A34F3B"/>
    <w:rsid w:val="00A4173C"/>
    <w:rsid w:val="00A5032A"/>
    <w:rsid w:val="00A528F0"/>
    <w:rsid w:val="00A546EC"/>
    <w:rsid w:val="00A55435"/>
    <w:rsid w:val="00A564F8"/>
    <w:rsid w:val="00A6144E"/>
    <w:rsid w:val="00A66ED2"/>
    <w:rsid w:val="00A70D31"/>
    <w:rsid w:val="00A84FE8"/>
    <w:rsid w:val="00A912BA"/>
    <w:rsid w:val="00A9211F"/>
    <w:rsid w:val="00A92BBE"/>
    <w:rsid w:val="00A939A3"/>
    <w:rsid w:val="00A949A6"/>
    <w:rsid w:val="00A976B2"/>
    <w:rsid w:val="00AA24D3"/>
    <w:rsid w:val="00AA2530"/>
    <w:rsid w:val="00AB2BED"/>
    <w:rsid w:val="00AB3642"/>
    <w:rsid w:val="00AB7537"/>
    <w:rsid w:val="00AC2B60"/>
    <w:rsid w:val="00AC3912"/>
    <w:rsid w:val="00AC4788"/>
    <w:rsid w:val="00AC49D6"/>
    <w:rsid w:val="00AD07BE"/>
    <w:rsid w:val="00AE1DD9"/>
    <w:rsid w:val="00AE75AA"/>
    <w:rsid w:val="00B05741"/>
    <w:rsid w:val="00B075EB"/>
    <w:rsid w:val="00B1131D"/>
    <w:rsid w:val="00B139C5"/>
    <w:rsid w:val="00B17217"/>
    <w:rsid w:val="00B20F21"/>
    <w:rsid w:val="00B21715"/>
    <w:rsid w:val="00B33314"/>
    <w:rsid w:val="00B37C26"/>
    <w:rsid w:val="00B47D00"/>
    <w:rsid w:val="00B50A4A"/>
    <w:rsid w:val="00B5397B"/>
    <w:rsid w:val="00B5640A"/>
    <w:rsid w:val="00B57BAA"/>
    <w:rsid w:val="00B615E2"/>
    <w:rsid w:val="00B6356A"/>
    <w:rsid w:val="00B66BE3"/>
    <w:rsid w:val="00B7406E"/>
    <w:rsid w:val="00B81D5B"/>
    <w:rsid w:val="00B83328"/>
    <w:rsid w:val="00B870A5"/>
    <w:rsid w:val="00BA1F1C"/>
    <w:rsid w:val="00BA26FD"/>
    <w:rsid w:val="00BB0338"/>
    <w:rsid w:val="00BB0708"/>
    <w:rsid w:val="00BB1FBE"/>
    <w:rsid w:val="00BB324E"/>
    <w:rsid w:val="00BB6AD1"/>
    <w:rsid w:val="00BC11D2"/>
    <w:rsid w:val="00BC194F"/>
    <w:rsid w:val="00BC30E7"/>
    <w:rsid w:val="00BC38EE"/>
    <w:rsid w:val="00BD1170"/>
    <w:rsid w:val="00BD1A07"/>
    <w:rsid w:val="00BE195A"/>
    <w:rsid w:val="00BE3056"/>
    <w:rsid w:val="00BE5669"/>
    <w:rsid w:val="00BE5767"/>
    <w:rsid w:val="00BE6327"/>
    <w:rsid w:val="00BF21C0"/>
    <w:rsid w:val="00BF4057"/>
    <w:rsid w:val="00BF7E4E"/>
    <w:rsid w:val="00C02C54"/>
    <w:rsid w:val="00C10DB6"/>
    <w:rsid w:val="00C120B2"/>
    <w:rsid w:val="00C1463A"/>
    <w:rsid w:val="00C22555"/>
    <w:rsid w:val="00C25E4F"/>
    <w:rsid w:val="00C265F4"/>
    <w:rsid w:val="00C2725C"/>
    <w:rsid w:val="00C27C56"/>
    <w:rsid w:val="00C30DF4"/>
    <w:rsid w:val="00C31B71"/>
    <w:rsid w:val="00C3335F"/>
    <w:rsid w:val="00C3515D"/>
    <w:rsid w:val="00C35228"/>
    <w:rsid w:val="00C44E42"/>
    <w:rsid w:val="00C45A33"/>
    <w:rsid w:val="00C46169"/>
    <w:rsid w:val="00C4690D"/>
    <w:rsid w:val="00C503F3"/>
    <w:rsid w:val="00C62748"/>
    <w:rsid w:val="00C627FE"/>
    <w:rsid w:val="00C6347D"/>
    <w:rsid w:val="00C64939"/>
    <w:rsid w:val="00C70280"/>
    <w:rsid w:val="00C8062E"/>
    <w:rsid w:val="00C80E59"/>
    <w:rsid w:val="00C871D0"/>
    <w:rsid w:val="00C9665C"/>
    <w:rsid w:val="00CA0ED9"/>
    <w:rsid w:val="00CA1021"/>
    <w:rsid w:val="00CB0F4B"/>
    <w:rsid w:val="00CB4ADE"/>
    <w:rsid w:val="00CB73B4"/>
    <w:rsid w:val="00CC2F45"/>
    <w:rsid w:val="00CC3BD3"/>
    <w:rsid w:val="00CC47B1"/>
    <w:rsid w:val="00CD1460"/>
    <w:rsid w:val="00CD1C16"/>
    <w:rsid w:val="00CD5D49"/>
    <w:rsid w:val="00CD6AA8"/>
    <w:rsid w:val="00CE112E"/>
    <w:rsid w:val="00CF011B"/>
    <w:rsid w:val="00CF0F03"/>
    <w:rsid w:val="00CF1A4D"/>
    <w:rsid w:val="00CF2596"/>
    <w:rsid w:val="00CF3A45"/>
    <w:rsid w:val="00D0576E"/>
    <w:rsid w:val="00D07117"/>
    <w:rsid w:val="00D11279"/>
    <w:rsid w:val="00D233F8"/>
    <w:rsid w:val="00D2434A"/>
    <w:rsid w:val="00D3382F"/>
    <w:rsid w:val="00D3630F"/>
    <w:rsid w:val="00D363F9"/>
    <w:rsid w:val="00D44F0F"/>
    <w:rsid w:val="00D47DEB"/>
    <w:rsid w:val="00D52327"/>
    <w:rsid w:val="00D56F97"/>
    <w:rsid w:val="00D56FFE"/>
    <w:rsid w:val="00D57530"/>
    <w:rsid w:val="00D62440"/>
    <w:rsid w:val="00D629FD"/>
    <w:rsid w:val="00D6626C"/>
    <w:rsid w:val="00D664F0"/>
    <w:rsid w:val="00D66B62"/>
    <w:rsid w:val="00D727B9"/>
    <w:rsid w:val="00D75297"/>
    <w:rsid w:val="00D75477"/>
    <w:rsid w:val="00D76F3A"/>
    <w:rsid w:val="00D81678"/>
    <w:rsid w:val="00D81CAF"/>
    <w:rsid w:val="00D8524C"/>
    <w:rsid w:val="00D90989"/>
    <w:rsid w:val="00D926A7"/>
    <w:rsid w:val="00D927E1"/>
    <w:rsid w:val="00D92F41"/>
    <w:rsid w:val="00D93C18"/>
    <w:rsid w:val="00D9476F"/>
    <w:rsid w:val="00DA1790"/>
    <w:rsid w:val="00DA545F"/>
    <w:rsid w:val="00DC16EF"/>
    <w:rsid w:val="00DC1D8E"/>
    <w:rsid w:val="00DD3BC4"/>
    <w:rsid w:val="00DE09CB"/>
    <w:rsid w:val="00DE0B2E"/>
    <w:rsid w:val="00DE11B0"/>
    <w:rsid w:val="00DE29CF"/>
    <w:rsid w:val="00DE6BD5"/>
    <w:rsid w:val="00DF0319"/>
    <w:rsid w:val="00DF211B"/>
    <w:rsid w:val="00DF2556"/>
    <w:rsid w:val="00DF451E"/>
    <w:rsid w:val="00DF50C4"/>
    <w:rsid w:val="00DF5751"/>
    <w:rsid w:val="00DF5A58"/>
    <w:rsid w:val="00DF6DD1"/>
    <w:rsid w:val="00E022A9"/>
    <w:rsid w:val="00E0344D"/>
    <w:rsid w:val="00E04A7A"/>
    <w:rsid w:val="00E10076"/>
    <w:rsid w:val="00E11F60"/>
    <w:rsid w:val="00E13F7B"/>
    <w:rsid w:val="00E16B1B"/>
    <w:rsid w:val="00E24B5C"/>
    <w:rsid w:val="00E26ABB"/>
    <w:rsid w:val="00E26FB2"/>
    <w:rsid w:val="00E302D0"/>
    <w:rsid w:val="00E30DAC"/>
    <w:rsid w:val="00E42228"/>
    <w:rsid w:val="00E4413C"/>
    <w:rsid w:val="00E471C3"/>
    <w:rsid w:val="00E52FFA"/>
    <w:rsid w:val="00E57278"/>
    <w:rsid w:val="00E576AE"/>
    <w:rsid w:val="00E61316"/>
    <w:rsid w:val="00E66006"/>
    <w:rsid w:val="00E71AA9"/>
    <w:rsid w:val="00E83075"/>
    <w:rsid w:val="00E86D1C"/>
    <w:rsid w:val="00E90FC9"/>
    <w:rsid w:val="00E957E3"/>
    <w:rsid w:val="00E97879"/>
    <w:rsid w:val="00EA1689"/>
    <w:rsid w:val="00EA1A43"/>
    <w:rsid w:val="00EB09D6"/>
    <w:rsid w:val="00EB12D0"/>
    <w:rsid w:val="00EB40EA"/>
    <w:rsid w:val="00EC6161"/>
    <w:rsid w:val="00ED2EAA"/>
    <w:rsid w:val="00ED612A"/>
    <w:rsid w:val="00EE107F"/>
    <w:rsid w:val="00EE12E3"/>
    <w:rsid w:val="00EE36F0"/>
    <w:rsid w:val="00EE44EA"/>
    <w:rsid w:val="00EE4FA7"/>
    <w:rsid w:val="00EE722B"/>
    <w:rsid w:val="00EF0DA4"/>
    <w:rsid w:val="00EF71DE"/>
    <w:rsid w:val="00F00E7C"/>
    <w:rsid w:val="00F10957"/>
    <w:rsid w:val="00F10C08"/>
    <w:rsid w:val="00F122C2"/>
    <w:rsid w:val="00F1734B"/>
    <w:rsid w:val="00F253E3"/>
    <w:rsid w:val="00F259BE"/>
    <w:rsid w:val="00F3029D"/>
    <w:rsid w:val="00F31D98"/>
    <w:rsid w:val="00F31DE5"/>
    <w:rsid w:val="00F40328"/>
    <w:rsid w:val="00F40683"/>
    <w:rsid w:val="00F50D96"/>
    <w:rsid w:val="00F53DB1"/>
    <w:rsid w:val="00F56E1A"/>
    <w:rsid w:val="00F61A92"/>
    <w:rsid w:val="00F76D45"/>
    <w:rsid w:val="00F82F01"/>
    <w:rsid w:val="00F84263"/>
    <w:rsid w:val="00F84EB1"/>
    <w:rsid w:val="00F96F0E"/>
    <w:rsid w:val="00FA0DAB"/>
    <w:rsid w:val="00FA0E64"/>
    <w:rsid w:val="00FA22F9"/>
    <w:rsid w:val="00FA46D1"/>
    <w:rsid w:val="00FA57F4"/>
    <w:rsid w:val="00FB08CE"/>
    <w:rsid w:val="00FB2DD5"/>
    <w:rsid w:val="00FB36DF"/>
    <w:rsid w:val="00FB3D19"/>
    <w:rsid w:val="00FB3E49"/>
    <w:rsid w:val="00FC0046"/>
    <w:rsid w:val="00FC051E"/>
    <w:rsid w:val="00FC1587"/>
    <w:rsid w:val="00FC22CF"/>
    <w:rsid w:val="00FC699A"/>
    <w:rsid w:val="00FC6DCE"/>
    <w:rsid w:val="00FD2D51"/>
    <w:rsid w:val="00FD3D2A"/>
    <w:rsid w:val="00FD4D72"/>
    <w:rsid w:val="00FD5144"/>
    <w:rsid w:val="00FD5AFE"/>
    <w:rsid w:val="00FD68B9"/>
    <w:rsid w:val="00FE10FD"/>
    <w:rsid w:val="00FE3B62"/>
    <w:rsid w:val="00FE5B1E"/>
    <w:rsid w:val="00FE6FDE"/>
    <w:rsid w:val="00FF586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docId w15:val="{47FBD266-FCBF-4B47-B9D7-C75449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  <w:style w:type="paragraph" w:styleId="BalloonText">
    <w:name w:val="Balloon Text"/>
    <w:basedOn w:val="Normal"/>
    <w:link w:val="BalloonTextChar"/>
    <w:uiPriority w:val="99"/>
    <w:semiHidden/>
    <w:unhideWhenUsed/>
    <w:rsid w:val="0031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02F"/>
    <w:rPr>
      <w:color w:val="954F72" w:themeColor="followedHyperlink"/>
      <w:u w:val="single"/>
    </w:rPr>
  </w:style>
  <w:style w:type="paragraph" w:customStyle="1" w:styleId="element">
    <w:name w:val="element"/>
    <w:basedOn w:val="Normal"/>
    <w:rsid w:val="00BE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A152-F0D5-42D8-AECF-9F10EC61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Sayre</dc:creator>
  <cp:lastModifiedBy>Ed M. Kazzimir</cp:lastModifiedBy>
  <cp:revision>40</cp:revision>
  <cp:lastPrinted>2019-06-04T17:12:00Z</cp:lastPrinted>
  <dcterms:created xsi:type="dcterms:W3CDTF">2019-06-03T21:13:00Z</dcterms:created>
  <dcterms:modified xsi:type="dcterms:W3CDTF">2019-06-04T23:13:00Z</dcterms:modified>
</cp:coreProperties>
</file>