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005F" w14:textId="4D49E697" w:rsidR="002B6C66" w:rsidRDefault="00F76650" w:rsidP="00A06766">
      <w:pPr>
        <w:spacing w:after="0" w:line="240" w:lineRule="auto"/>
        <w:rPr>
          <w:rFonts w:cstheme="minorHAnsi"/>
          <w:b/>
          <w:bCs/>
          <w:sz w:val="32"/>
          <w:szCs w:val="32"/>
        </w:rPr>
      </w:pPr>
      <w:r>
        <w:rPr>
          <w:rFonts w:cstheme="minorHAnsi"/>
          <w:b/>
          <w:bCs/>
          <w:sz w:val="32"/>
          <w:szCs w:val="32"/>
        </w:rPr>
        <w:t xml:space="preserve">AGDC </w:t>
      </w:r>
      <w:r w:rsidR="002B6C66">
        <w:rPr>
          <w:rFonts w:cstheme="minorHAnsi"/>
          <w:b/>
          <w:bCs/>
          <w:sz w:val="32"/>
          <w:szCs w:val="32"/>
        </w:rPr>
        <w:t xml:space="preserve">looks for new sponsor </w:t>
      </w:r>
      <w:r w:rsidR="00B10E41">
        <w:rPr>
          <w:rFonts w:cstheme="minorHAnsi"/>
          <w:b/>
          <w:bCs/>
          <w:sz w:val="32"/>
          <w:szCs w:val="32"/>
        </w:rPr>
        <w:t xml:space="preserve">to take over LNG project </w:t>
      </w:r>
      <w:r w:rsidR="002B6C66">
        <w:rPr>
          <w:rFonts w:cstheme="minorHAnsi"/>
          <w:b/>
          <w:bCs/>
          <w:sz w:val="32"/>
          <w:szCs w:val="32"/>
        </w:rPr>
        <w:t xml:space="preserve">— or it will sell </w:t>
      </w:r>
      <w:r w:rsidR="00E2600E">
        <w:rPr>
          <w:rFonts w:cstheme="minorHAnsi"/>
          <w:b/>
          <w:bCs/>
          <w:sz w:val="32"/>
          <w:szCs w:val="32"/>
        </w:rPr>
        <w:t xml:space="preserve">off </w:t>
      </w:r>
      <w:r w:rsidR="002B6C66">
        <w:rPr>
          <w:rFonts w:cstheme="minorHAnsi"/>
          <w:b/>
          <w:bCs/>
          <w:sz w:val="32"/>
          <w:szCs w:val="32"/>
        </w:rPr>
        <w:t>the assets</w:t>
      </w:r>
    </w:p>
    <w:p w14:paraId="30C60B9A" w14:textId="77777777" w:rsidR="00DB42A5" w:rsidRPr="00DB42A5" w:rsidRDefault="00DB42A5" w:rsidP="00A06766">
      <w:pPr>
        <w:spacing w:after="0" w:line="240" w:lineRule="auto"/>
        <w:rPr>
          <w:rFonts w:cstheme="minorHAnsi"/>
          <w:sz w:val="24"/>
          <w:szCs w:val="24"/>
        </w:rPr>
      </w:pPr>
    </w:p>
    <w:p w14:paraId="7371DD29" w14:textId="5BF713F9" w:rsidR="00820B8F" w:rsidRPr="004C0D4B" w:rsidRDefault="00820B8F" w:rsidP="00A06766">
      <w:pPr>
        <w:spacing w:after="0" w:line="240" w:lineRule="auto"/>
        <w:rPr>
          <w:rFonts w:cstheme="minorHAnsi"/>
          <w:sz w:val="24"/>
          <w:szCs w:val="24"/>
        </w:rPr>
      </w:pPr>
      <w:r w:rsidRPr="004C0D4B">
        <w:rPr>
          <w:rFonts w:cstheme="minorHAnsi"/>
          <w:sz w:val="24"/>
          <w:szCs w:val="24"/>
        </w:rPr>
        <w:t xml:space="preserve">By Larry Persily </w:t>
      </w:r>
      <w:hyperlink r:id="rId7" w:history="1">
        <w:r w:rsidRPr="004C0D4B">
          <w:rPr>
            <w:rStyle w:val="Hyperlink"/>
            <w:rFonts w:cstheme="minorHAnsi"/>
            <w:color w:val="auto"/>
            <w:sz w:val="24"/>
            <w:szCs w:val="24"/>
          </w:rPr>
          <w:t>paper@alaskan.com</w:t>
        </w:r>
      </w:hyperlink>
    </w:p>
    <w:p w14:paraId="6F791779" w14:textId="36DC5EBC" w:rsidR="00820B8F" w:rsidRPr="004C0D4B" w:rsidRDefault="00DF1663" w:rsidP="00A06766">
      <w:pPr>
        <w:spacing w:after="0" w:line="240" w:lineRule="auto"/>
        <w:rPr>
          <w:rFonts w:cstheme="minorHAnsi"/>
          <w:sz w:val="24"/>
          <w:szCs w:val="24"/>
        </w:rPr>
      </w:pPr>
      <w:r>
        <w:rPr>
          <w:rFonts w:cstheme="minorHAnsi"/>
          <w:sz w:val="24"/>
          <w:szCs w:val="24"/>
        </w:rPr>
        <w:t xml:space="preserve">May </w:t>
      </w:r>
      <w:r w:rsidR="005334EF">
        <w:rPr>
          <w:rFonts w:cstheme="minorHAnsi"/>
          <w:sz w:val="24"/>
          <w:szCs w:val="24"/>
        </w:rPr>
        <w:t>13</w:t>
      </w:r>
      <w:r w:rsidR="00A64A07" w:rsidRPr="004C0D4B">
        <w:rPr>
          <w:rFonts w:cstheme="minorHAnsi"/>
          <w:sz w:val="24"/>
          <w:szCs w:val="24"/>
        </w:rPr>
        <w:t>,</w:t>
      </w:r>
      <w:r w:rsidR="007A0CD7" w:rsidRPr="004C0D4B">
        <w:rPr>
          <w:rFonts w:cstheme="minorHAnsi"/>
          <w:sz w:val="24"/>
          <w:szCs w:val="24"/>
        </w:rPr>
        <w:t xml:space="preserve"> 2</w:t>
      </w:r>
      <w:r w:rsidR="00A64A07" w:rsidRPr="004C0D4B">
        <w:rPr>
          <w:rFonts w:cstheme="minorHAnsi"/>
          <w:sz w:val="24"/>
          <w:szCs w:val="24"/>
        </w:rPr>
        <w:t>020</w:t>
      </w:r>
    </w:p>
    <w:p w14:paraId="0A7FBEC5" w14:textId="77777777" w:rsidR="00244ED0" w:rsidRDefault="00244ED0" w:rsidP="00244ED0">
      <w:pPr>
        <w:spacing w:after="0" w:line="240" w:lineRule="auto"/>
        <w:rPr>
          <w:rFonts w:cstheme="minorHAnsi"/>
          <w:sz w:val="24"/>
          <w:szCs w:val="24"/>
        </w:rPr>
      </w:pPr>
    </w:p>
    <w:p w14:paraId="057002F2" w14:textId="4FC8F5D2" w:rsidR="006F6AC5" w:rsidRDefault="00117548" w:rsidP="000825BE">
      <w:pPr>
        <w:spacing w:after="0" w:line="240" w:lineRule="auto"/>
        <w:ind w:firstLine="576"/>
        <w:rPr>
          <w:rFonts w:cstheme="minorHAnsi"/>
          <w:sz w:val="24"/>
          <w:szCs w:val="24"/>
        </w:rPr>
      </w:pPr>
      <w:r>
        <w:rPr>
          <w:rFonts w:cstheme="minorHAnsi"/>
          <w:sz w:val="24"/>
          <w:szCs w:val="24"/>
        </w:rPr>
        <w:t xml:space="preserve">The </w:t>
      </w:r>
      <w:r w:rsidR="00F76650">
        <w:rPr>
          <w:rFonts w:cstheme="minorHAnsi"/>
          <w:sz w:val="24"/>
          <w:szCs w:val="24"/>
        </w:rPr>
        <w:t xml:space="preserve">state corporation that has been leading the </w:t>
      </w:r>
      <w:r w:rsidR="00C96497">
        <w:rPr>
          <w:rFonts w:cstheme="minorHAnsi"/>
          <w:sz w:val="24"/>
          <w:szCs w:val="24"/>
        </w:rPr>
        <w:t xml:space="preserve">proposed </w:t>
      </w:r>
      <w:r w:rsidR="00F76650">
        <w:rPr>
          <w:rFonts w:cstheme="minorHAnsi"/>
          <w:sz w:val="24"/>
          <w:szCs w:val="24"/>
        </w:rPr>
        <w:t xml:space="preserve">multibillion-dollar Alaska North Slope natural gas project since late 2016 </w:t>
      </w:r>
      <w:r w:rsidR="00312901">
        <w:rPr>
          <w:rFonts w:cstheme="minorHAnsi"/>
          <w:sz w:val="24"/>
          <w:szCs w:val="24"/>
        </w:rPr>
        <w:t>wants</w:t>
      </w:r>
      <w:r w:rsidR="00F76650">
        <w:rPr>
          <w:rFonts w:cstheme="minorHAnsi"/>
          <w:sz w:val="24"/>
          <w:szCs w:val="24"/>
        </w:rPr>
        <w:t xml:space="preserve"> someone else to </w:t>
      </w:r>
      <w:r w:rsidR="00B10E41">
        <w:rPr>
          <w:rFonts w:cstheme="minorHAnsi"/>
          <w:sz w:val="24"/>
          <w:szCs w:val="24"/>
        </w:rPr>
        <w:t>take over</w:t>
      </w:r>
      <w:r w:rsidR="00F76650">
        <w:rPr>
          <w:rFonts w:cstheme="minorHAnsi"/>
          <w:sz w:val="24"/>
          <w:szCs w:val="24"/>
        </w:rPr>
        <w:t xml:space="preserve"> the development effort</w:t>
      </w:r>
      <w:r w:rsidR="00B10E41">
        <w:rPr>
          <w:rFonts w:cstheme="minorHAnsi"/>
          <w:sz w:val="24"/>
          <w:szCs w:val="24"/>
        </w:rPr>
        <w:t xml:space="preserve">. </w:t>
      </w:r>
      <w:r w:rsidR="00701D8D">
        <w:rPr>
          <w:rFonts w:cstheme="minorHAnsi"/>
          <w:sz w:val="24"/>
          <w:szCs w:val="24"/>
        </w:rPr>
        <w:t xml:space="preserve"> </w:t>
      </w:r>
      <w:r w:rsidR="00B10E41">
        <w:rPr>
          <w:rFonts w:cstheme="minorHAnsi"/>
          <w:sz w:val="24"/>
          <w:szCs w:val="24"/>
        </w:rPr>
        <w:t xml:space="preserve">The corporation’s plan assumes that </w:t>
      </w:r>
      <w:r w:rsidR="00F76650">
        <w:rPr>
          <w:rFonts w:cstheme="minorHAnsi"/>
          <w:sz w:val="24"/>
          <w:szCs w:val="24"/>
        </w:rPr>
        <w:t xml:space="preserve">an economic analysis currently underway determines the project is </w:t>
      </w:r>
      <w:r w:rsidR="00B10E41">
        <w:rPr>
          <w:rFonts w:cstheme="minorHAnsi"/>
          <w:sz w:val="24"/>
          <w:szCs w:val="24"/>
        </w:rPr>
        <w:t xml:space="preserve">economically </w:t>
      </w:r>
      <w:r w:rsidR="00F76650">
        <w:rPr>
          <w:rFonts w:cstheme="minorHAnsi"/>
          <w:sz w:val="24"/>
          <w:szCs w:val="24"/>
        </w:rPr>
        <w:t>viable</w:t>
      </w:r>
      <w:r w:rsidR="001D2A96">
        <w:rPr>
          <w:rFonts w:cstheme="minorHAnsi"/>
          <w:sz w:val="24"/>
          <w:szCs w:val="24"/>
        </w:rPr>
        <w:t>.</w:t>
      </w:r>
    </w:p>
    <w:p w14:paraId="413DA20D" w14:textId="6B8B63AF" w:rsidR="00F76650" w:rsidRDefault="00F76650" w:rsidP="000825BE">
      <w:pPr>
        <w:spacing w:after="0" w:line="240" w:lineRule="auto"/>
        <w:ind w:firstLine="576"/>
        <w:rPr>
          <w:rFonts w:cstheme="minorHAnsi"/>
          <w:sz w:val="24"/>
          <w:szCs w:val="24"/>
        </w:rPr>
      </w:pPr>
      <w:r>
        <w:rPr>
          <w:rFonts w:cstheme="minorHAnsi"/>
          <w:sz w:val="24"/>
          <w:szCs w:val="24"/>
        </w:rPr>
        <w:t xml:space="preserve">If no one steps up to take over from the state, which has been paying just about all the bills the past four years, the Alaska Gasline Development Corp. </w:t>
      </w:r>
      <w:r w:rsidR="00312901">
        <w:rPr>
          <w:rFonts w:cstheme="minorHAnsi"/>
          <w:sz w:val="24"/>
          <w:szCs w:val="24"/>
        </w:rPr>
        <w:t xml:space="preserve">(AGDC) </w:t>
      </w:r>
      <w:r>
        <w:rPr>
          <w:rFonts w:cstheme="minorHAnsi"/>
          <w:sz w:val="24"/>
          <w:szCs w:val="24"/>
        </w:rPr>
        <w:t xml:space="preserve">board of directors </w:t>
      </w:r>
      <w:r w:rsidR="00312901">
        <w:rPr>
          <w:rFonts w:cstheme="minorHAnsi"/>
          <w:sz w:val="24"/>
          <w:szCs w:val="24"/>
        </w:rPr>
        <w:t>appears ready to</w:t>
      </w:r>
      <w:r>
        <w:rPr>
          <w:rFonts w:cstheme="minorHAnsi"/>
          <w:sz w:val="24"/>
          <w:szCs w:val="24"/>
        </w:rPr>
        <w:t xml:space="preserve"> sell </w:t>
      </w:r>
      <w:r w:rsidR="00E2600E">
        <w:rPr>
          <w:rFonts w:cstheme="minorHAnsi"/>
          <w:sz w:val="24"/>
          <w:szCs w:val="24"/>
        </w:rPr>
        <w:t xml:space="preserve">off </w:t>
      </w:r>
      <w:r>
        <w:rPr>
          <w:rFonts w:cstheme="minorHAnsi"/>
          <w:sz w:val="24"/>
          <w:szCs w:val="24"/>
        </w:rPr>
        <w:t xml:space="preserve">the project’s assets — </w:t>
      </w:r>
      <w:r w:rsidR="00B10E41">
        <w:rPr>
          <w:rFonts w:cstheme="minorHAnsi"/>
          <w:sz w:val="24"/>
          <w:szCs w:val="24"/>
        </w:rPr>
        <w:t xml:space="preserve">which could include </w:t>
      </w:r>
      <w:r>
        <w:rPr>
          <w:rFonts w:cstheme="minorHAnsi"/>
          <w:sz w:val="24"/>
          <w:szCs w:val="24"/>
        </w:rPr>
        <w:t>permits, studies</w:t>
      </w:r>
      <w:r w:rsidR="00701D8D">
        <w:rPr>
          <w:rFonts w:cstheme="minorHAnsi"/>
          <w:sz w:val="24"/>
          <w:szCs w:val="24"/>
        </w:rPr>
        <w:t>,</w:t>
      </w:r>
      <w:r>
        <w:rPr>
          <w:rFonts w:cstheme="minorHAnsi"/>
          <w:sz w:val="24"/>
          <w:szCs w:val="24"/>
        </w:rPr>
        <w:t xml:space="preserve"> and engineering work — in a formal bidding </w:t>
      </w:r>
      <w:r w:rsidR="00E2600E">
        <w:rPr>
          <w:rFonts w:cstheme="minorHAnsi"/>
          <w:sz w:val="24"/>
          <w:szCs w:val="24"/>
        </w:rPr>
        <w:t>procedure</w:t>
      </w:r>
      <w:r>
        <w:rPr>
          <w:rFonts w:cstheme="minorHAnsi"/>
          <w:sz w:val="24"/>
          <w:szCs w:val="24"/>
        </w:rPr>
        <w:t>.</w:t>
      </w:r>
    </w:p>
    <w:p w14:paraId="3A3DD0B0" w14:textId="000098B3" w:rsidR="002021C5" w:rsidRDefault="00006B07" w:rsidP="000825BE">
      <w:pPr>
        <w:spacing w:after="0" w:line="240" w:lineRule="auto"/>
        <w:ind w:firstLine="576"/>
        <w:rPr>
          <w:rFonts w:cstheme="minorHAnsi"/>
          <w:sz w:val="24"/>
          <w:szCs w:val="24"/>
        </w:rPr>
      </w:pPr>
      <w:r>
        <w:rPr>
          <w:rFonts w:cstheme="minorHAnsi"/>
          <w:sz w:val="24"/>
          <w:szCs w:val="24"/>
        </w:rPr>
        <w:t xml:space="preserve">The </w:t>
      </w:r>
      <w:r w:rsidR="006F5786">
        <w:rPr>
          <w:rFonts w:cstheme="minorHAnsi"/>
          <w:sz w:val="24"/>
          <w:szCs w:val="24"/>
        </w:rPr>
        <w:t>first</w:t>
      </w:r>
      <w:r>
        <w:rPr>
          <w:rFonts w:cstheme="minorHAnsi"/>
          <w:sz w:val="24"/>
          <w:szCs w:val="24"/>
        </w:rPr>
        <w:t xml:space="preserve"> step in the </w:t>
      </w:r>
      <w:r w:rsidR="006F5786">
        <w:rPr>
          <w:rFonts w:cstheme="minorHAnsi"/>
          <w:sz w:val="24"/>
          <w:szCs w:val="24"/>
        </w:rPr>
        <w:t xml:space="preserve">unfolding </w:t>
      </w:r>
      <w:r>
        <w:rPr>
          <w:rFonts w:cstheme="minorHAnsi"/>
          <w:sz w:val="24"/>
          <w:szCs w:val="24"/>
        </w:rPr>
        <w:t xml:space="preserve">process is an update to the 3-year-old </w:t>
      </w:r>
      <w:r w:rsidR="002021C5">
        <w:rPr>
          <w:rFonts w:cstheme="minorHAnsi"/>
          <w:sz w:val="24"/>
          <w:szCs w:val="24"/>
        </w:rPr>
        <w:t>$43 billion cost estimate for the Alaska LNG project</w:t>
      </w:r>
      <w:r>
        <w:rPr>
          <w:rFonts w:cstheme="minorHAnsi"/>
          <w:sz w:val="24"/>
          <w:szCs w:val="24"/>
        </w:rPr>
        <w:t xml:space="preserve"> </w:t>
      </w:r>
      <w:r w:rsidR="004F109A">
        <w:rPr>
          <w:rFonts w:cstheme="minorHAnsi"/>
          <w:sz w:val="24"/>
          <w:szCs w:val="24"/>
        </w:rPr>
        <w:t>that would</w:t>
      </w:r>
      <w:r w:rsidR="00B10E41">
        <w:rPr>
          <w:rFonts w:cstheme="minorHAnsi"/>
          <w:sz w:val="24"/>
          <w:szCs w:val="24"/>
        </w:rPr>
        <w:t xml:space="preserve"> transport</w:t>
      </w:r>
      <w:r>
        <w:rPr>
          <w:rFonts w:cstheme="minorHAnsi"/>
          <w:sz w:val="24"/>
          <w:szCs w:val="24"/>
        </w:rPr>
        <w:t xml:space="preserve"> North Slope gas </w:t>
      </w:r>
      <w:r w:rsidR="00B10E41">
        <w:rPr>
          <w:rFonts w:cstheme="minorHAnsi"/>
          <w:sz w:val="24"/>
          <w:szCs w:val="24"/>
        </w:rPr>
        <w:t xml:space="preserve">through </w:t>
      </w:r>
      <w:r>
        <w:rPr>
          <w:rFonts w:cstheme="minorHAnsi"/>
          <w:sz w:val="24"/>
          <w:szCs w:val="24"/>
        </w:rPr>
        <w:t xml:space="preserve">more than 800 miles </w:t>
      </w:r>
      <w:r w:rsidR="00B10E41">
        <w:rPr>
          <w:rFonts w:cstheme="minorHAnsi"/>
          <w:sz w:val="24"/>
          <w:szCs w:val="24"/>
        </w:rPr>
        <w:t xml:space="preserve">of pipeline </w:t>
      </w:r>
      <w:r>
        <w:rPr>
          <w:rFonts w:cstheme="minorHAnsi"/>
          <w:sz w:val="24"/>
          <w:szCs w:val="24"/>
        </w:rPr>
        <w:t>to a liquefaction plant and marine terminal in Nikiski</w:t>
      </w:r>
      <w:r w:rsidR="002021C5">
        <w:rPr>
          <w:rFonts w:cstheme="minorHAnsi"/>
          <w:sz w:val="24"/>
          <w:szCs w:val="24"/>
        </w:rPr>
        <w:t>.</w:t>
      </w:r>
      <w:r w:rsidR="00701D8D">
        <w:rPr>
          <w:rFonts w:cstheme="minorHAnsi"/>
          <w:sz w:val="24"/>
          <w:szCs w:val="24"/>
        </w:rPr>
        <w:t xml:space="preserve"> </w:t>
      </w:r>
      <w:r>
        <w:rPr>
          <w:rFonts w:cstheme="minorHAnsi"/>
          <w:sz w:val="24"/>
          <w:szCs w:val="24"/>
        </w:rPr>
        <w:t xml:space="preserve"> Fluor, a </w:t>
      </w:r>
      <w:r w:rsidR="001D2A96">
        <w:rPr>
          <w:rFonts w:cstheme="minorHAnsi"/>
          <w:sz w:val="24"/>
          <w:szCs w:val="24"/>
        </w:rPr>
        <w:t xml:space="preserve">108-year-old </w:t>
      </w:r>
      <w:r>
        <w:rPr>
          <w:rFonts w:cstheme="minorHAnsi"/>
          <w:sz w:val="24"/>
          <w:szCs w:val="24"/>
        </w:rPr>
        <w:t xml:space="preserve">global engineering and construction company, is under contract to AGDC to prepare the update. </w:t>
      </w:r>
      <w:r w:rsidR="00701D8D">
        <w:rPr>
          <w:rFonts w:cstheme="minorHAnsi"/>
          <w:sz w:val="24"/>
          <w:szCs w:val="24"/>
        </w:rPr>
        <w:t xml:space="preserve"> </w:t>
      </w:r>
      <w:r>
        <w:rPr>
          <w:rFonts w:cstheme="minorHAnsi"/>
          <w:sz w:val="24"/>
          <w:szCs w:val="24"/>
        </w:rPr>
        <w:t xml:space="preserve">The state corporation expects to receive </w:t>
      </w:r>
      <w:r w:rsidR="004F109A">
        <w:rPr>
          <w:rFonts w:cstheme="minorHAnsi"/>
          <w:sz w:val="24"/>
          <w:szCs w:val="24"/>
        </w:rPr>
        <w:t>Fluor’s</w:t>
      </w:r>
      <w:r>
        <w:rPr>
          <w:rFonts w:cstheme="minorHAnsi"/>
          <w:sz w:val="24"/>
          <w:szCs w:val="24"/>
        </w:rPr>
        <w:t xml:space="preserve"> numbers later this month and, after review</w:t>
      </w:r>
      <w:r w:rsidR="000C68C9">
        <w:rPr>
          <w:rFonts w:cstheme="minorHAnsi"/>
          <w:sz w:val="24"/>
          <w:szCs w:val="24"/>
        </w:rPr>
        <w:t xml:space="preserve"> by its own team</w:t>
      </w:r>
      <w:r>
        <w:rPr>
          <w:rFonts w:cstheme="minorHAnsi"/>
          <w:sz w:val="24"/>
          <w:szCs w:val="24"/>
        </w:rPr>
        <w:t xml:space="preserve">, will present them at </w:t>
      </w:r>
      <w:r w:rsidR="00B37DA4">
        <w:rPr>
          <w:rFonts w:cstheme="minorHAnsi"/>
          <w:sz w:val="24"/>
          <w:szCs w:val="24"/>
        </w:rPr>
        <w:t>its</w:t>
      </w:r>
      <w:r>
        <w:rPr>
          <w:rFonts w:cstheme="minorHAnsi"/>
          <w:sz w:val="24"/>
          <w:szCs w:val="24"/>
        </w:rPr>
        <w:t xml:space="preserve"> June </w:t>
      </w:r>
      <w:r w:rsidR="00B37DA4">
        <w:rPr>
          <w:rFonts w:cstheme="minorHAnsi"/>
          <w:sz w:val="24"/>
          <w:szCs w:val="24"/>
        </w:rPr>
        <w:t xml:space="preserve">board </w:t>
      </w:r>
      <w:r>
        <w:rPr>
          <w:rFonts w:cstheme="minorHAnsi"/>
          <w:sz w:val="24"/>
          <w:szCs w:val="24"/>
        </w:rPr>
        <w:t>meeting.</w:t>
      </w:r>
    </w:p>
    <w:p w14:paraId="0C6DB9B5" w14:textId="5DD4B3A0" w:rsidR="00006B07" w:rsidRDefault="00B37DA4" w:rsidP="000825BE">
      <w:pPr>
        <w:spacing w:after="0" w:line="240" w:lineRule="auto"/>
        <w:ind w:firstLine="576"/>
        <w:rPr>
          <w:rFonts w:cstheme="minorHAnsi"/>
          <w:sz w:val="24"/>
          <w:szCs w:val="24"/>
        </w:rPr>
      </w:pPr>
      <w:r>
        <w:rPr>
          <w:rFonts w:cstheme="minorHAnsi"/>
          <w:sz w:val="24"/>
          <w:szCs w:val="24"/>
        </w:rPr>
        <w:t xml:space="preserve">Fluor, based in Texas, </w:t>
      </w:r>
      <w:r w:rsidR="006F5786">
        <w:rPr>
          <w:rFonts w:cstheme="minorHAnsi"/>
          <w:sz w:val="24"/>
          <w:szCs w:val="24"/>
        </w:rPr>
        <w:t>is experienced in LNG plant construction.</w:t>
      </w:r>
      <w:r w:rsidR="00701D8D">
        <w:rPr>
          <w:rFonts w:cstheme="minorHAnsi"/>
          <w:sz w:val="24"/>
          <w:szCs w:val="24"/>
        </w:rPr>
        <w:t xml:space="preserve"> </w:t>
      </w:r>
      <w:r w:rsidR="006F5786">
        <w:rPr>
          <w:rFonts w:cstheme="minorHAnsi"/>
          <w:sz w:val="24"/>
          <w:szCs w:val="24"/>
        </w:rPr>
        <w:t xml:space="preserve"> It</w:t>
      </w:r>
      <w:r w:rsidR="00B10E41">
        <w:rPr>
          <w:rFonts w:cstheme="minorHAnsi"/>
          <w:sz w:val="24"/>
          <w:szCs w:val="24"/>
        </w:rPr>
        <w:t>’</w:t>
      </w:r>
      <w:r>
        <w:rPr>
          <w:rFonts w:cstheme="minorHAnsi"/>
          <w:sz w:val="24"/>
          <w:szCs w:val="24"/>
        </w:rPr>
        <w:t xml:space="preserve">s part of a joint venture </w:t>
      </w:r>
      <w:r w:rsidR="00B10E41">
        <w:rPr>
          <w:rFonts w:cstheme="minorHAnsi"/>
          <w:sz w:val="24"/>
          <w:szCs w:val="24"/>
        </w:rPr>
        <w:t>that was awarded</w:t>
      </w:r>
      <w:r>
        <w:rPr>
          <w:rFonts w:cstheme="minorHAnsi"/>
          <w:sz w:val="24"/>
          <w:szCs w:val="24"/>
        </w:rPr>
        <w:t xml:space="preserve"> the engineering, fabrication</w:t>
      </w:r>
      <w:r w:rsidR="00D3459F">
        <w:rPr>
          <w:rFonts w:cstheme="minorHAnsi"/>
          <w:sz w:val="24"/>
          <w:szCs w:val="24"/>
        </w:rPr>
        <w:t>,</w:t>
      </w:r>
      <w:r>
        <w:rPr>
          <w:rFonts w:cstheme="minorHAnsi"/>
          <w:sz w:val="24"/>
          <w:szCs w:val="24"/>
        </w:rPr>
        <w:t xml:space="preserve"> and construction contract for the $30 billion Shell-led LNG Canada project under construction in Kitimat, British Columbia, about 100 miles southeast of Alaska’s southern border with Canada.</w:t>
      </w:r>
    </w:p>
    <w:p w14:paraId="4816D4D0" w14:textId="2F45CA15" w:rsidR="002021C5" w:rsidRDefault="00E675D3" w:rsidP="000825BE">
      <w:pPr>
        <w:spacing w:after="0" w:line="240" w:lineRule="auto"/>
        <w:ind w:firstLine="576"/>
        <w:rPr>
          <w:rFonts w:cstheme="minorHAnsi"/>
          <w:sz w:val="24"/>
          <w:szCs w:val="24"/>
        </w:rPr>
      </w:pPr>
      <w:r>
        <w:rPr>
          <w:rFonts w:cstheme="minorHAnsi"/>
          <w:sz w:val="24"/>
          <w:szCs w:val="24"/>
        </w:rPr>
        <w:t xml:space="preserve">The AGDC board on April 9 approved a resolution adopting </w:t>
      </w:r>
      <w:r w:rsidR="00312901">
        <w:rPr>
          <w:rFonts w:cstheme="minorHAnsi"/>
          <w:sz w:val="24"/>
          <w:szCs w:val="24"/>
        </w:rPr>
        <w:t>a</w:t>
      </w:r>
      <w:r>
        <w:rPr>
          <w:rFonts w:cstheme="minorHAnsi"/>
          <w:sz w:val="24"/>
          <w:szCs w:val="24"/>
        </w:rPr>
        <w:t xml:space="preserve"> strategic plan</w:t>
      </w:r>
      <w:r w:rsidR="00312901">
        <w:rPr>
          <w:rFonts w:cstheme="minorHAnsi"/>
          <w:sz w:val="24"/>
          <w:szCs w:val="24"/>
        </w:rPr>
        <w:t xml:space="preserve"> </w:t>
      </w:r>
      <w:r w:rsidR="00B10E41">
        <w:rPr>
          <w:rFonts w:cstheme="minorHAnsi"/>
          <w:sz w:val="24"/>
          <w:szCs w:val="24"/>
        </w:rPr>
        <w:t>to direct</w:t>
      </w:r>
      <w:r w:rsidR="00312901">
        <w:rPr>
          <w:rFonts w:cstheme="minorHAnsi"/>
          <w:sz w:val="24"/>
          <w:szCs w:val="24"/>
        </w:rPr>
        <w:t xml:space="preserve"> </w:t>
      </w:r>
      <w:r w:rsidR="001D2A96">
        <w:rPr>
          <w:rFonts w:cstheme="minorHAnsi"/>
          <w:sz w:val="24"/>
          <w:szCs w:val="24"/>
        </w:rPr>
        <w:t xml:space="preserve">state involvement in the </w:t>
      </w:r>
      <w:r w:rsidR="00B10E41">
        <w:rPr>
          <w:rFonts w:cstheme="minorHAnsi"/>
          <w:sz w:val="24"/>
          <w:szCs w:val="24"/>
        </w:rPr>
        <w:t xml:space="preserve">Alaska LNG </w:t>
      </w:r>
      <w:r w:rsidR="001D2A96">
        <w:rPr>
          <w:rFonts w:cstheme="minorHAnsi"/>
          <w:sz w:val="24"/>
          <w:szCs w:val="24"/>
        </w:rPr>
        <w:t xml:space="preserve">project through </w:t>
      </w:r>
      <w:r w:rsidR="00312901">
        <w:rPr>
          <w:rFonts w:cstheme="minorHAnsi"/>
          <w:sz w:val="24"/>
          <w:szCs w:val="24"/>
        </w:rPr>
        <w:t xml:space="preserve">June 2021. </w:t>
      </w:r>
      <w:r w:rsidR="00701D8D">
        <w:rPr>
          <w:rFonts w:cstheme="minorHAnsi"/>
          <w:sz w:val="24"/>
          <w:szCs w:val="24"/>
        </w:rPr>
        <w:t xml:space="preserve"> </w:t>
      </w:r>
      <w:r w:rsidR="00312901">
        <w:rPr>
          <w:rFonts w:cstheme="minorHAnsi"/>
          <w:sz w:val="24"/>
          <w:szCs w:val="24"/>
        </w:rPr>
        <w:t xml:space="preserve">The </w:t>
      </w:r>
      <w:r w:rsidR="004F109A">
        <w:rPr>
          <w:rFonts w:cstheme="minorHAnsi"/>
          <w:sz w:val="24"/>
          <w:szCs w:val="24"/>
        </w:rPr>
        <w:t>document</w:t>
      </w:r>
      <w:r w:rsidR="00312901">
        <w:rPr>
          <w:rFonts w:cstheme="minorHAnsi"/>
          <w:sz w:val="24"/>
          <w:szCs w:val="24"/>
        </w:rPr>
        <w:t xml:space="preserve"> itself is confidential</w:t>
      </w:r>
      <w:r>
        <w:rPr>
          <w:rFonts w:cstheme="minorHAnsi"/>
          <w:sz w:val="24"/>
          <w:szCs w:val="24"/>
        </w:rPr>
        <w:t xml:space="preserve">, </w:t>
      </w:r>
      <w:r w:rsidR="002021C5">
        <w:rPr>
          <w:rFonts w:cstheme="minorHAnsi"/>
          <w:sz w:val="24"/>
          <w:szCs w:val="24"/>
        </w:rPr>
        <w:t xml:space="preserve">but the board reviewed in public session </w:t>
      </w:r>
      <w:r w:rsidR="00F31EBD">
        <w:rPr>
          <w:rFonts w:cstheme="minorHAnsi"/>
          <w:sz w:val="24"/>
          <w:szCs w:val="24"/>
        </w:rPr>
        <w:t>the</w:t>
      </w:r>
      <w:r w:rsidR="002021C5">
        <w:rPr>
          <w:rFonts w:cstheme="minorHAnsi"/>
          <w:sz w:val="24"/>
          <w:szCs w:val="24"/>
        </w:rPr>
        <w:t xml:space="preserve"> underlying assumptions of the plan</w:t>
      </w:r>
      <w:r w:rsidR="00B10E41">
        <w:rPr>
          <w:rFonts w:cstheme="minorHAnsi"/>
          <w:sz w:val="24"/>
          <w:szCs w:val="24"/>
        </w:rPr>
        <w:t>.</w:t>
      </w:r>
    </w:p>
    <w:p w14:paraId="37BC3F5F" w14:textId="25B9982E" w:rsidR="00A26305" w:rsidRPr="00F31EBD" w:rsidRDefault="001D2A96" w:rsidP="00F31EBD">
      <w:pPr>
        <w:pStyle w:val="ListParagraph"/>
        <w:numPr>
          <w:ilvl w:val="0"/>
          <w:numId w:val="11"/>
        </w:numPr>
        <w:spacing w:after="0" w:line="240" w:lineRule="auto"/>
        <w:rPr>
          <w:rFonts w:cstheme="minorHAnsi"/>
          <w:sz w:val="24"/>
          <w:szCs w:val="24"/>
        </w:rPr>
      </w:pPr>
      <w:r w:rsidRPr="00F31EBD">
        <w:rPr>
          <w:rFonts w:cstheme="minorHAnsi"/>
          <w:sz w:val="24"/>
          <w:szCs w:val="24"/>
        </w:rPr>
        <w:t xml:space="preserve">The </w:t>
      </w:r>
      <w:r w:rsidR="004B7739" w:rsidRPr="00F31EBD">
        <w:rPr>
          <w:rFonts w:cstheme="minorHAnsi"/>
          <w:sz w:val="24"/>
          <w:szCs w:val="24"/>
        </w:rPr>
        <w:t>updated cost estimate is complete</w:t>
      </w:r>
      <w:r w:rsidR="00A26305" w:rsidRPr="00F31EBD">
        <w:rPr>
          <w:rFonts w:cstheme="minorHAnsi"/>
          <w:sz w:val="24"/>
          <w:szCs w:val="24"/>
        </w:rPr>
        <w:t xml:space="preserve"> by June</w:t>
      </w:r>
      <w:r w:rsidR="004B7739" w:rsidRPr="00F31EBD">
        <w:rPr>
          <w:rFonts w:cstheme="minorHAnsi"/>
          <w:sz w:val="24"/>
          <w:szCs w:val="24"/>
        </w:rPr>
        <w:t xml:space="preserve">. </w:t>
      </w:r>
      <w:r w:rsidR="00701D8D">
        <w:rPr>
          <w:rFonts w:cstheme="minorHAnsi"/>
          <w:sz w:val="24"/>
          <w:szCs w:val="24"/>
        </w:rPr>
        <w:t xml:space="preserve"> </w:t>
      </w:r>
      <w:r w:rsidR="004B7739" w:rsidRPr="00F31EBD">
        <w:rPr>
          <w:rFonts w:cstheme="minorHAnsi"/>
          <w:sz w:val="24"/>
          <w:szCs w:val="24"/>
        </w:rPr>
        <w:t>AGDC has been working</w:t>
      </w:r>
      <w:r w:rsidR="00B10E41">
        <w:rPr>
          <w:rFonts w:cstheme="minorHAnsi"/>
          <w:sz w:val="24"/>
          <w:szCs w:val="24"/>
        </w:rPr>
        <w:t xml:space="preserve"> — with help the past year from BP and ExxonMobil —</w:t>
      </w:r>
      <w:r w:rsidR="004B7739" w:rsidRPr="00F31EBD">
        <w:rPr>
          <w:rFonts w:cstheme="minorHAnsi"/>
          <w:sz w:val="24"/>
          <w:szCs w:val="24"/>
        </w:rPr>
        <w:t xml:space="preserve"> to reduce</w:t>
      </w:r>
      <w:r w:rsidR="00B10E41">
        <w:rPr>
          <w:rFonts w:cstheme="minorHAnsi"/>
          <w:sz w:val="24"/>
          <w:szCs w:val="24"/>
        </w:rPr>
        <w:t xml:space="preserve"> construction</w:t>
      </w:r>
      <w:r w:rsidR="004B7739" w:rsidRPr="00F31EBD">
        <w:rPr>
          <w:rFonts w:cstheme="minorHAnsi"/>
          <w:sz w:val="24"/>
          <w:szCs w:val="24"/>
        </w:rPr>
        <w:t xml:space="preserve"> costs</w:t>
      </w:r>
      <w:r w:rsidR="00A26305" w:rsidRPr="00F31EBD">
        <w:rPr>
          <w:rFonts w:cstheme="minorHAnsi"/>
          <w:sz w:val="24"/>
          <w:szCs w:val="24"/>
        </w:rPr>
        <w:t xml:space="preserve"> in hopes of making the project economically viable</w:t>
      </w:r>
      <w:r w:rsidR="00B10E41">
        <w:rPr>
          <w:rFonts w:cstheme="minorHAnsi"/>
          <w:sz w:val="24"/>
          <w:szCs w:val="24"/>
        </w:rPr>
        <w:t>,</w:t>
      </w:r>
      <w:r w:rsidR="00A26305" w:rsidRPr="00F31EBD">
        <w:rPr>
          <w:rFonts w:cstheme="minorHAnsi"/>
          <w:sz w:val="24"/>
          <w:szCs w:val="24"/>
        </w:rPr>
        <w:t xml:space="preserve"> and has talked up </w:t>
      </w:r>
      <w:r w:rsidR="006F5786">
        <w:rPr>
          <w:rFonts w:cstheme="minorHAnsi"/>
          <w:sz w:val="24"/>
          <w:szCs w:val="24"/>
        </w:rPr>
        <w:t xml:space="preserve">Fluor’s upcoming estimate as </w:t>
      </w:r>
      <w:r w:rsidR="00A26305" w:rsidRPr="00F31EBD">
        <w:rPr>
          <w:rFonts w:cstheme="minorHAnsi"/>
          <w:sz w:val="24"/>
          <w:szCs w:val="24"/>
        </w:rPr>
        <w:t>potentially validating its work</w:t>
      </w:r>
      <w:r w:rsidR="004B7739" w:rsidRPr="00F31EBD">
        <w:rPr>
          <w:rFonts w:cstheme="minorHAnsi"/>
          <w:sz w:val="24"/>
          <w:szCs w:val="24"/>
        </w:rPr>
        <w:t>.</w:t>
      </w:r>
      <w:r w:rsidR="00701D8D">
        <w:rPr>
          <w:rFonts w:cstheme="minorHAnsi"/>
          <w:sz w:val="24"/>
          <w:szCs w:val="24"/>
        </w:rPr>
        <w:t xml:space="preserve"> </w:t>
      </w:r>
      <w:r w:rsidR="000F6024">
        <w:rPr>
          <w:rFonts w:cstheme="minorHAnsi"/>
          <w:sz w:val="24"/>
          <w:szCs w:val="24"/>
        </w:rPr>
        <w:t xml:space="preserve"> </w:t>
      </w:r>
      <w:r w:rsidR="00B10E41">
        <w:rPr>
          <w:rFonts w:cstheme="minorHAnsi"/>
          <w:sz w:val="24"/>
          <w:szCs w:val="24"/>
        </w:rPr>
        <w:t>P</w:t>
      </w:r>
      <w:r w:rsidR="000F6024">
        <w:rPr>
          <w:rFonts w:cstheme="minorHAnsi"/>
          <w:sz w:val="24"/>
          <w:szCs w:val="24"/>
        </w:rPr>
        <w:t>roject construction and operation costs, and the price of gas going into the liquefaction plant, are the biggest drivers of the final sales price</w:t>
      </w:r>
      <w:r w:rsidR="00B10E41">
        <w:rPr>
          <w:rFonts w:cstheme="minorHAnsi"/>
          <w:sz w:val="24"/>
          <w:szCs w:val="24"/>
        </w:rPr>
        <w:t xml:space="preserve"> for the LNG</w:t>
      </w:r>
      <w:r w:rsidR="000F6024">
        <w:rPr>
          <w:rFonts w:cstheme="minorHAnsi"/>
          <w:sz w:val="24"/>
          <w:szCs w:val="24"/>
        </w:rPr>
        <w:t>.</w:t>
      </w:r>
    </w:p>
    <w:p w14:paraId="230AE0F6" w14:textId="321681AD" w:rsidR="00A26305" w:rsidRPr="00F31EBD" w:rsidRDefault="00A26305" w:rsidP="00F31EBD">
      <w:pPr>
        <w:pStyle w:val="ListParagraph"/>
        <w:numPr>
          <w:ilvl w:val="0"/>
          <w:numId w:val="11"/>
        </w:numPr>
        <w:spacing w:after="0" w:line="240" w:lineRule="auto"/>
        <w:rPr>
          <w:rFonts w:cstheme="minorHAnsi"/>
          <w:sz w:val="24"/>
          <w:szCs w:val="24"/>
        </w:rPr>
      </w:pPr>
      <w:r w:rsidRPr="00F31EBD">
        <w:rPr>
          <w:rFonts w:cstheme="minorHAnsi"/>
          <w:sz w:val="24"/>
          <w:szCs w:val="24"/>
        </w:rPr>
        <w:t xml:space="preserve">The </w:t>
      </w:r>
      <w:r w:rsidR="006F5786">
        <w:rPr>
          <w:rFonts w:cstheme="minorHAnsi"/>
          <w:sz w:val="24"/>
          <w:szCs w:val="24"/>
        </w:rPr>
        <w:t xml:space="preserve">next assumption is that the </w:t>
      </w:r>
      <w:r w:rsidRPr="00F31EBD">
        <w:rPr>
          <w:rFonts w:cstheme="minorHAnsi"/>
          <w:sz w:val="24"/>
          <w:szCs w:val="24"/>
        </w:rPr>
        <w:t>cost update and economic analysis show the project “has a potential to deliver LNG to markets at a competitive price.”</w:t>
      </w:r>
      <w:r w:rsidR="00701D8D">
        <w:rPr>
          <w:rFonts w:cstheme="minorHAnsi"/>
          <w:sz w:val="24"/>
          <w:szCs w:val="24"/>
        </w:rPr>
        <w:t xml:space="preserve"> </w:t>
      </w:r>
      <w:r w:rsidR="00B10E41">
        <w:rPr>
          <w:rFonts w:cstheme="minorHAnsi"/>
          <w:sz w:val="24"/>
          <w:szCs w:val="24"/>
        </w:rPr>
        <w:t xml:space="preserve"> The state has been looking to Asia as the best market for Alaska gas. </w:t>
      </w:r>
      <w:r w:rsidR="00701D8D">
        <w:rPr>
          <w:rFonts w:cstheme="minorHAnsi"/>
          <w:sz w:val="24"/>
          <w:szCs w:val="24"/>
        </w:rPr>
        <w:t xml:space="preserve"> </w:t>
      </w:r>
      <w:r w:rsidR="00B10E41">
        <w:rPr>
          <w:rFonts w:cstheme="minorHAnsi"/>
          <w:sz w:val="24"/>
          <w:szCs w:val="24"/>
        </w:rPr>
        <w:t xml:space="preserve">Though current spot-market and long-term contract prices in an oversupplied Asian market are far below break-even costs for an Alaska LNG venture, they could increase later this decade if demand returns to a strong growth rate. </w:t>
      </w:r>
      <w:r w:rsidR="00701D8D">
        <w:rPr>
          <w:rFonts w:cstheme="minorHAnsi"/>
          <w:sz w:val="24"/>
          <w:szCs w:val="24"/>
        </w:rPr>
        <w:t xml:space="preserve"> </w:t>
      </w:r>
      <w:r w:rsidR="00A458A1">
        <w:rPr>
          <w:rFonts w:cstheme="minorHAnsi"/>
          <w:sz w:val="24"/>
          <w:szCs w:val="24"/>
        </w:rPr>
        <w:t>But competition from other suppliers will be intense.</w:t>
      </w:r>
    </w:p>
    <w:p w14:paraId="246886DF" w14:textId="0319CE2F" w:rsidR="004B7739" w:rsidRPr="00F31EBD" w:rsidRDefault="006F5786" w:rsidP="00F31EBD">
      <w:pPr>
        <w:pStyle w:val="ListParagraph"/>
        <w:numPr>
          <w:ilvl w:val="0"/>
          <w:numId w:val="11"/>
        </w:numPr>
        <w:spacing w:after="0" w:line="240" w:lineRule="auto"/>
        <w:rPr>
          <w:rFonts w:cstheme="minorHAnsi"/>
          <w:sz w:val="24"/>
          <w:szCs w:val="24"/>
        </w:rPr>
      </w:pPr>
      <w:r>
        <w:rPr>
          <w:rFonts w:cstheme="minorHAnsi"/>
          <w:sz w:val="24"/>
          <w:szCs w:val="24"/>
        </w:rPr>
        <w:t>The</w:t>
      </w:r>
      <w:r w:rsidR="00A458A1">
        <w:rPr>
          <w:rFonts w:cstheme="minorHAnsi"/>
          <w:sz w:val="24"/>
          <w:szCs w:val="24"/>
        </w:rPr>
        <w:t xml:space="preserve"> plan assumes that </w:t>
      </w:r>
      <w:r>
        <w:rPr>
          <w:rFonts w:cstheme="minorHAnsi"/>
          <w:sz w:val="24"/>
          <w:szCs w:val="24"/>
        </w:rPr>
        <w:t>w</w:t>
      </w:r>
      <w:r w:rsidR="00A26305" w:rsidRPr="00F31EBD">
        <w:rPr>
          <w:rFonts w:cstheme="minorHAnsi"/>
          <w:sz w:val="24"/>
          <w:szCs w:val="24"/>
        </w:rPr>
        <w:t>hichever partner</w:t>
      </w:r>
      <w:r w:rsidR="00A458A1">
        <w:rPr>
          <w:rFonts w:cstheme="minorHAnsi"/>
          <w:sz w:val="24"/>
          <w:szCs w:val="24"/>
        </w:rPr>
        <w:t>(</w:t>
      </w:r>
      <w:r w:rsidR="00A26305" w:rsidRPr="00F31EBD">
        <w:rPr>
          <w:rFonts w:cstheme="minorHAnsi"/>
          <w:sz w:val="24"/>
          <w:szCs w:val="24"/>
        </w:rPr>
        <w:t>s</w:t>
      </w:r>
      <w:r w:rsidR="00A458A1">
        <w:rPr>
          <w:rFonts w:cstheme="minorHAnsi"/>
          <w:sz w:val="24"/>
          <w:szCs w:val="24"/>
        </w:rPr>
        <w:t>)</w:t>
      </w:r>
      <w:r w:rsidR="00A26305" w:rsidRPr="00F31EBD">
        <w:rPr>
          <w:rFonts w:cstheme="minorHAnsi"/>
          <w:sz w:val="24"/>
          <w:szCs w:val="24"/>
        </w:rPr>
        <w:t xml:space="preserve"> step forward to </w:t>
      </w:r>
      <w:r w:rsidR="00A458A1">
        <w:rPr>
          <w:rFonts w:cstheme="minorHAnsi"/>
          <w:sz w:val="24"/>
          <w:szCs w:val="24"/>
        </w:rPr>
        <w:t>take over as lead sponsor will</w:t>
      </w:r>
      <w:r w:rsidR="00A26305" w:rsidRPr="00F31EBD">
        <w:rPr>
          <w:rFonts w:cstheme="minorHAnsi"/>
          <w:sz w:val="24"/>
          <w:szCs w:val="24"/>
        </w:rPr>
        <w:t xml:space="preserve"> “recommend moving forward with further development of the Alaska LNG project</w:t>
      </w:r>
      <w:r>
        <w:rPr>
          <w:rFonts w:cstheme="minorHAnsi"/>
          <w:sz w:val="24"/>
          <w:szCs w:val="24"/>
        </w:rPr>
        <w:t>.</w:t>
      </w:r>
      <w:r w:rsidR="00A458A1">
        <w:rPr>
          <w:rFonts w:cstheme="minorHAnsi"/>
          <w:sz w:val="24"/>
          <w:szCs w:val="24"/>
        </w:rPr>
        <w:t>”</w:t>
      </w:r>
    </w:p>
    <w:p w14:paraId="382DFF1D" w14:textId="067046EA" w:rsidR="005340B6" w:rsidRDefault="004B7739" w:rsidP="005340B6">
      <w:pPr>
        <w:pStyle w:val="ListParagraph"/>
        <w:numPr>
          <w:ilvl w:val="0"/>
          <w:numId w:val="11"/>
        </w:numPr>
        <w:spacing w:after="0" w:line="240" w:lineRule="auto"/>
        <w:rPr>
          <w:rFonts w:cstheme="minorHAnsi"/>
          <w:sz w:val="24"/>
          <w:szCs w:val="24"/>
        </w:rPr>
      </w:pPr>
      <w:r w:rsidRPr="00F31EBD">
        <w:rPr>
          <w:rFonts w:cstheme="minorHAnsi"/>
          <w:sz w:val="24"/>
          <w:szCs w:val="24"/>
        </w:rPr>
        <w:t xml:space="preserve">The </w:t>
      </w:r>
      <w:r w:rsidR="006F5786">
        <w:rPr>
          <w:rFonts w:cstheme="minorHAnsi"/>
          <w:sz w:val="24"/>
          <w:szCs w:val="24"/>
        </w:rPr>
        <w:t>F</w:t>
      </w:r>
      <w:r w:rsidRPr="00F31EBD">
        <w:rPr>
          <w:rFonts w:cstheme="minorHAnsi"/>
          <w:sz w:val="24"/>
          <w:szCs w:val="24"/>
        </w:rPr>
        <w:t>ederal Energy Regulatory Commission stays on schedule and approves the Alaska project.</w:t>
      </w:r>
      <w:r w:rsidR="00701D8D">
        <w:rPr>
          <w:rFonts w:cstheme="minorHAnsi"/>
          <w:sz w:val="24"/>
          <w:szCs w:val="24"/>
        </w:rPr>
        <w:t xml:space="preserve"> </w:t>
      </w:r>
      <w:r w:rsidRPr="00F31EBD">
        <w:rPr>
          <w:rFonts w:cstheme="minorHAnsi"/>
          <w:sz w:val="24"/>
          <w:szCs w:val="24"/>
        </w:rPr>
        <w:t xml:space="preserve"> The commission issued </w:t>
      </w:r>
      <w:r w:rsidR="00A458A1">
        <w:rPr>
          <w:rFonts w:cstheme="minorHAnsi"/>
          <w:sz w:val="24"/>
          <w:szCs w:val="24"/>
        </w:rPr>
        <w:t>its</w:t>
      </w:r>
      <w:r w:rsidRPr="00F31EBD">
        <w:rPr>
          <w:rFonts w:cstheme="minorHAnsi"/>
          <w:sz w:val="24"/>
          <w:szCs w:val="24"/>
        </w:rPr>
        <w:t xml:space="preserve"> final environment impact statement in March and </w:t>
      </w:r>
      <w:r w:rsidR="00A26305" w:rsidRPr="00F31EBD">
        <w:rPr>
          <w:rFonts w:cstheme="minorHAnsi"/>
          <w:sz w:val="24"/>
          <w:szCs w:val="24"/>
        </w:rPr>
        <w:t xml:space="preserve">is </w:t>
      </w:r>
      <w:r w:rsidR="00A26305" w:rsidRPr="00F31EBD">
        <w:rPr>
          <w:rFonts w:cstheme="minorHAnsi"/>
          <w:sz w:val="24"/>
          <w:szCs w:val="24"/>
        </w:rPr>
        <w:lastRenderedPageBreak/>
        <w:t>due to</w:t>
      </w:r>
      <w:r w:rsidRPr="00F31EBD">
        <w:rPr>
          <w:rFonts w:cstheme="minorHAnsi"/>
          <w:sz w:val="24"/>
          <w:szCs w:val="24"/>
        </w:rPr>
        <w:t xml:space="preserve"> vote </w:t>
      </w:r>
      <w:r w:rsidR="006F5786">
        <w:rPr>
          <w:rFonts w:cstheme="minorHAnsi"/>
          <w:sz w:val="24"/>
          <w:szCs w:val="24"/>
        </w:rPr>
        <w:t xml:space="preserve">in </w:t>
      </w:r>
      <w:r w:rsidR="00A458A1">
        <w:rPr>
          <w:rFonts w:cstheme="minorHAnsi"/>
          <w:sz w:val="24"/>
          <w:szCs w:val="24"/>
        </w:rPr>
        <w:t xml:space="preserve">early </w:t>
      </w:r>
      <w:r w:rsidR="006F5786">
        <w:rPr>
          <w:rFonts w:cstheme="minorHAnsi"/>
          <w:sz w:val="24"/>
          <w:szCs w:val="24"/>
        </w:rPr>
        <w:t xml:space="preserve">June </w:t>
      </w:r>
      <w:r w:rsidRPr="00F31EBD">
        <w:rPr>
          <w:rFonts w:cstheme="minorHAnsi"/>
          <w:sz w:val="24"/>
          <w:szCs w:val="24"/>
        </w:rPr>
        <w:t xml:space="preserve">on AGDC’s application to construct the gas treatment plant at Prudhoe Bay, </w:t>
      </w:r>
      <w:r w:rsidR="00A458A1">
        <w:rPr>
          <w:rFonts w:cstheme="minorHAnsi"/>
          <w:sz w:val="24"/>
          <w:szCs w:val="24"/>
        </w:rPr>
        <w:t xml:space="preserve">the </w:t>
      </w:r>
      <w:r w:rsidRPr="00F31EBD">
        <w:rPr>
          <w:rFonts w:cstheme="minorHAnsi"/>
          <w:sz w:val="24"/>
          <w:szCs w:val="24"/>
        </w:rPr>
        <w:t>pipeline, LNG plant</w:t>
      </w:r>
      <w:r w:rsidR="005340B6">
        <w:rPr>
          <w:rFonts w:cstheme="minorHAnsi"/>
          <w:sz w:val="24"/>
          <w:szCs w:val="24"/>
        </w:rPr>
        <w:t>,</w:t>
      </w:r>
      <w:r w:rsidRPr="00F31EBD">
        <w:rPr>
          <w:rFonts w:cstheme="minorHAnsi"/>
          <w:sz w:val="24"/>
          <w:szCs w:val="24"/>
        </w:rPr>
        <w:t xml:space="preserve"> and marine terminal.</w:t>
      </w:r>
      <w:r w:rsidR="00701D8D">
        <w:rPr>
          <w:rFonts w:cstheme="minorHAnsi"/>
          <w:sz w:val="24"/>
          <w:szCs w:val="24"/>
        </w:rPr>
        <w:t xml:space="preserve"> </w:t>
      </w:r>
      <w:r w:rsidR="00F31EBD" w:rsidRPr="00F31EBD">
        <w:rPr>
          <w:rFonts w:cstheme="minorHAnsi"/>
          <w:sz w:val="24"/>
          <w:szCs w:val="24"/>
        </w:rPr>
        <w:t xml:space="preserve"> FERC does not consider a project’s economic viability — only its environmental impact and safety issues.</w:t>
      </w:r>
    </w:p>
    <w:p w14:paraId="0E1A9616" w14:textId="5CBF3952" w:rsidR="00A458A1" w:rsidRPr="005340B6" w:rsidRDefault="005340B6" w:rsidP="005340B6">
      <w:pPr>
        <w:pStyle w:val="ListParagraph"/>
        <w:spacing w:after="0" w:line="240" w:lineRule="auto"/>
        <w:ind w:left="0"/>
        <w:rPr>
          <w:rFonts w:cstheme="minorHAnsi"/>
          <w:sz w:val="24"/>
          <w:szCs w:val="24"/>
        </w:rPr>
      </w:pPr>
      <w:r>
        <w:rPr>
          <w:sz w:val="24"/>
          <w:szCs w:val="24"/>
        </w:rPr>
        <w:t xml:space="preserve">           </w:t>
      </w:r>
      <w:r w:rsidR="00A458A1" w:rsidRPr="005340B6">
        <w:rPr>
          <w:sz w:val="24"/>
          <w:szCs w:val="24"/>
        </w:rPr>
        <w:t>The assumptions that went into the strategic plan also included a timeline for the state to get out as lead sponsor of the project.</w:t>
      </w:r>
      <w:r w:rsidR="00701D8D" w:rsidRPr="005340B6">
        <w:rPr>
          <w:sz w:val="24"/>
          <w:szCs w:val="24"/>
        </w:rPr>
        <w:t xml:space="preserve"> </w:t>
      </w:r>
      <w:r w:rsidR="00A458A1" w:rsidRPr="005340B6">
        <w:rPr>
          <w:sz w:val="24"/>
          <w:szCs w:val="24"/>
        </w:rPr>
        <w:t xml:space="preserve"> That included:</w:t>
      </w:r>
    </w:p>
    <w:p w14:paraId="583D7550" w14:textId="2E7A318D" w:rsidR="001D2A96" w:rsidRDefault="000F6024" w:rsidP="00F31EBD">
      <w:pPr>
        <w:pStyle w:val="ListParagraph"/>
        <w:numPr>
          <w:ilvl w:val="0"/>
          <w:numId w:val="11"/>
        </w:numPr>
        <w:spacing w:after="0" w:line="240" w:lineRule="auto"/>
        <w:rPr>
          <w:rFonts w:cstheme="minorHAnsi"/>
          <w:sz w:val="24"/>
          <w:szCs w:val="24"/>
        </w:rPr>
      </w:pPr>
      <w:r>
        <w:rPr>
          <w:rFonts w:cstheme="minorHAnsi"/>
          <w:sz w:val="24"/>
          <w:szCs w:val="24"/>
        </w:rPr>
        <w:t>AGDC will continue looking for partners, and a</w:t>
      </w:r>
      <w:r w:rsidR="001D2A96" w:rsidRPr="00F31EBD">
        <w:rPr>
          <w:rFonts w:cstheme="minorHAnsi"/>
          <w:sz w:val="24"/>
          <w:szCs w:val="24"/>
        </w:rPr>
        <w:t xml:space="preserve"> transition to a new project sponsor will be underway by Jan. 1, 2021</w:t>
      </w:r>
      <w:r w:rsidR="00A26305" w:rsidRPr="00F31EBD">
        <w:rPr>
          <w:rFonts w:cstheme="minorHAnsi"/>
          <w:sz w:val="24"/>
          <w:szCs w:val="24"/>
        </w:rPr>
        <w:t>, as the AGDC board of directors “does not support” the state continuing as the sole project sponsor past Dec. 31</w:t>
      </w:r>
      <w:r w:rsidR="00A458A1">
        <w:rPr>
          <w:rFonts w:cstheme="minorHAnsi"/>
          <w:sz w:val="24"/>
          <w:szCs w:val="24"/>
        </w:rPr>
        <w:t>, 2020.</w:t>
      </w:r>
    </w:p>
    <w:p w14:paraId="19F222A1" w14:textId="09569F81" w:rsidR="000F6024" w:rsidRPr="00F31EBD" w:rsidRDefault="000F6024" w:rsidP="00F31EBD">
      <w:pPr>
        <w:pStyle w:val="ListParagraph"/>
        <w:numPr>
          <w:ilvl w:val="0"/>
          <w:numId w:val="11"/>
        </w:numPr>
        <w:spacing w:after="0" w:line="240" w:lineRule="auto"/>
        <w:rPr>
          <w:rFonts w:cstheme="minorHAnsi"/>
          <w:sz w:val="24"/>
          <w:szCs w:val="24"/>
        </w:rPr>
      </w:pPr>
      <w:r>
        <w:rPr>
          <w:rFonts w:cstheme="minorHAnsi"/>
          <w:sz w:val="24"/>
          <w:szCs w:val="24"/>
        </w:rPr>
        <w:t>The board, working with the Legislature and the administration of Gov. Mike Dunleavy, “will define an acceptable role, if any,” for the state in the project.</w:t>
      </w:r>
    </w:p>
    <w:p w14:paraId="68DF209B" w14:textId="2ED4B521" w:rsidR="00A26305" w:rsidRPr="00F31EBD" w:rsidRDefault="00F31EBD" w:rsidP="00F31EBD">
      <w:pPr>
        <w:pStyle w:val="ListParagraph"/>
        <w:numPr>
          <w:ilvl w:val="0"/>
          <w:numId w:val="11"/>
        </w:numPr>
        <w:spacing w:after="0" w:line="240" w:lineRule="auto"/>
        <w:rPr>
          <w:rFonts w:cstheme="minorHAnsi"/>
          <w:sz w:val="24"/>
          <w:szCs w:val="24"/>
        </w:rPr>
      </w:pPr>
      <w:r w:rsidRPr="00F31EBD">
        <w:rPr>
          <w:rFonts w:cstheme="minorHAnsi"/>
          <w:sz w:val="24"/>
          <w:szCs w:val="24"/>
        </w:rPr>
        <w:t>If “</w:t>
      </w:r>
      <w:r w:rsidR="00A26305" w:rsidRPr="00F31EBD">
        <w:rPr>
          <w:rFonts w:cstheme="minorHAnsi"/>
          <w:sz w:val="24"/>
          <w:szCs w:val="24"/>
        </w:rPr>
        <w:t>there is not sufficient interest from strategic parties</w:t>
      </w:r>
      <w:r w:rsidRPr="00F31EBD">
        <w:rPr>
          <w:rFonts w:cstheme="minorHAnsi"/>
          <w:sz w:val="24"/>
          <w:szCs w:val="24"/>
        </w:rPr>
        <w:t>”</w:t>
      </w:r>
      <w:r w:rsidR="00A26305" w:rsidRPr="00F31EBD">
        <w:rPr>
          <w:rFonts w:cstheme="minorHAnsi"/>
          <w:sz w:val="24"/>
          <w:szCs w:val="24"/>
        </w:rPr>
        <w:t xml:space="preserve"> to lead the </w:t>
      </w:r>
      <w:r w:rsidRPr="00F31EBD">
        <w:rPr>
          <w:rFonts w:cstheme="minorHAnsi"/>
          <w:sz w:val="24"/>
          <w:szCs w:val="24"/>
        </w:rPr>
        <w:t>development effort,</w:t>
      </w:r>
      <w:r w:rsidR="00A26305" w:rsidRPr="00F31EBD">
        <w:rPr>
          <w:rFonts w:cstheme="minorHAnsi"/>
          <w:sz w:val="24"/>
          <w:szCs w:val="24"/>
        </w:rPr>
        <w:t xml:space="preserve"> AGDC will </w:t>
      </w:r>
      <w:r w:rsidRPr="00F31EBD">
        <w:rPr>
          <w:rFonts w:cstheme="minorHAnsi"/>
          <w:sz w:val="24"/>
          <w:szCs w:val="24"/>
        </w:rPr>
        <w:t xml:space="preserve">publicly </w:t>
      </w:r>
      <w:r w:rsidR="00A26305" w:rsidRPr="00F31EBD">
        <w:rPr>
          <w:rFonts w:cstheme="minorHAnsi"/>
          <w:sz w:val="24"/>
          <w:szCs w:val="24"/>
        </w:rPr>
        <w:t xml:space="preserve">solicit interest from others to take over the </w:t>
      </w:r>
      <w:r w:rsidRPr="00F31EBD">
        <w:rPr>
          <w:rFonts w:cstheme="minorHAnsi"/>
          <w:sz w:val="24"/>
          <w:szCs w:val="24"/>
        </w:rPr>
        <w:t>project</w:t>
      </w:r>
      <w:r w:rsidR="00A26305" w:rsidRPr="00F31EBD">
        <w:rPr>
          <w:rFonts w:cstheme="minorHAnsi"/>
          <w:sz w:val="24"/>
          <w:szCs w:val="24"/>
        </w:rPr>
        <w:t>.</w:t>
      </w:r>
    </w:p>
    <w:p w14:paraId="619BCFD8" w14:textId="5B31BFE0" w:rsidR="00A26305" w:rsidRPr="00F31EBD" w:rsidRDefault="00F31EBD" w:rsidP="00F31EBD">
      <w:pPr>
        <w:pStyle w:val="ListParagraph"/>
        <w:numPr>
          <w:ilvl w:val="0"/>
          <w:numId w:val="11"/>
        </w:numPr>
        <w:spacing w:after="0" w:line="240" w:lineRule="auto"/>
        <w:rPr>
          <w:rFonts w:cstheme="minorHAnsi"/>
          <w:sz w:val="24"/>
          <w:szCs w:val="24"/>
        </w:rPr>
      </w:pPr>
      <w:r w:rsidRPr="00F31EBD">
        <w:rPr>
          <w:rFonts w:cstheme="minorHAnsi"/>
          <w:sz w:val="24"/>
          <w:szCs w:val="24"/>
        </w:rPr>
        <w:t>And if that doesn’t attract a new leader for the project, “AGDC will put the Alaska LNG project assets up for sale” in a formal bidding process, according to the staff presentation at the April 9 board meeting.</w:t>
      </w:r>
      <w:r w:rsidR="00701D8D">
        <w:rPr>
          <w:rFonts w:cstheme="minorHAnsi"/>
          <w:sz w:val="24"/>
          <w:szCs w:val="24"/>
        </w:rPr>
        <w:t xml:space="preserve"> </w:t>
      </w:r>
      <w:r w:rsidR="00A458A1">
        <w:rPr>
          <w:rFonts w:cstheme="minorHAnsi"/>
          <w:sz w:val="24"/>
          <w:szCs w:val="24"/>
        </w:rPr>
        <w:t xml:space="preserve"> The corporation has the authority under state law to sell the project assets.</w:t>
      </w:r>
    </w:p>
    <w:p w14:paraId="229298AA" w14:textId="1FA51DAA" w:rsidR="00A458A1" w:rsidRDefault="00A458A1" w:rsidP="00A26305">
      <w:pPr>
        <w:spacing w:after="0" w:line="240" w:lineRule="auto"/>
        <w:ind w:firstLine="576"/>
        <w:rPr>
          <w:rFonts w:cstheme="minorHAnsi"/>
          <w:sz w:val="24"/>
          <w:szCs w:val="24"/>
        </w:rPr>
      </w:pPr>
      <w:r>
        <w:rPr>
          <w:rFonts w:cstheme="minorHAnsi"/>
          <w:sz w:val="24"/>
          <w:szCs w:val="24"/>
        </w:rPr>
        <w:t xml:space="preserve">The approximately 600 acres for the LNG terminal in Nikiski, however, is not owned by AGDC. </w:t>
      </w:r>
      <w:r w:rsidR="005340B6">
        <w:rPr>
          <w:rFonts w:cstheme="minorHAnsi"/>
          <w:sz w:val="24"/>
          <w:szCs w:val="24"/>
        </w:rPr>
        <w:t xml:space="preserve"> </w:t>
      </w:r>
      <w:r>
        <w:rPr>
          <w:rFonts w:cstheme="minorHAnsi"/>
          <w:sz w:val="24"/>
          <w:szCs w:val="24"/>
        </w:rPr>
        <w:t>ExxonMobil, BP</w:t>
      </w:r>
      <w:r w:rsidR="00701D8D">
        <w:rPr>
          <w:rFonts w:cstheme="minorHAnsi"/>
          <w:sz w:val="24"/>
          <w:szCs w:val="24"/>
        </w:rPr>
        <w:t>,</w:t>
      </w:r>
      <w:r>
        <w:rPr>
          <w:rFonts w:cstheme="minorHAnsi"/>
          <w:sz w:val="24"/>
          <w:szCs w:val="24"/>
        </w:rPr>
        <w:t xml:space="preserve"> and ConocoPhillips bought the privately owned parcels </w:t>
      </w:r>
      <w:r w:rsidR="004F109A">
        <w:rPr>
          <w:rFonts w:cstheme="minorHAnsi"/>
          <w:sz w:val="24"/>
          <w:szCs w:val="24"/>
        </w:rPr>
        <w:t>several</w:t>
      </w:r>
      <w:r>
        <w:rPr>
          <w:rFonts w:cstheme="minorHAnsi"/>
          <w:sz w:val="24"/>
          <w:szCs w:val="24"/>
        </w:rPr>
        <w:t xml:space="preserve"> years ago — when the</w:t>
      </w:r>
      <w:r w:rsidR="004F109A">
        <w:rPr>
          <w:rFonts w:cstheme="minorHAnsi"/>
          <w:sz w:val="24"/>
          <w:szCs w:val="24"/>
        </w:rPr>
        <w:t xml:space="preserve"> companies</w:t>
      </w:r>
      <w:r>
        <w:rPr>
          <w:rFonts w:cstheme="minorHAnsi"/>
          <w:sz w:val="24"/>
          <w:szCs w:val="24"/>
        </w:rPr>
        <w:t xml:space="preserve"> were leading the effort — and the state never reached a deal to take control of the property.</w:t>
      </w:r>
    </w:p>
    <w:p w14:paraId="239FEA53" w14:textId="33E025E9" w:rsidR="00A458A1" w:rsidRDefault="00A458A1" w:rsidP="00A458A1">
      <w:pPr>
        <w:spacing w:after="0" w:line="240" w:lineRule="auto"/>
        <w:ind w:firstLine="576"/>
        <w:rPr>
          <w:rFonts w:cstheme="minorHAnsi"/>
          <w:sz w:val="24"/>
          <w:szCs w:val="24"/>
        </w:rPr>
      </w:pPr>
      <w:r>
        <w:rPr>
          <w:rFonts w:cstheme="minorHAnsi"/>
          <w:sz w:val="24"/>
          <w:szCs w:val="24"/>
        </w:rPr>
        <w:t xml:space="preserve">After the three major North Slope oil and gas producers declined in late 2016 to spend more money on the Alaska LNG project, AGDC took over as lead, funding the application process and environmental review at FERC. </w:t>
      </w:r>
      <w:r w:rsidR="00701D8D">
        <w:rPr>
          <w:rFonts w:cstheme="minorHAnsi"/>
          <w:sz w:val="24"/>
          <w:szCs w:val="24"/>
        </w:rPr>
        <w:t xml:space="preserve"> </w:t>
      </w:r>
      <w:r>
        <w:rPr>
          <w:rFonts w:cstheme="minorHAnsi"/>
          <w:sz w:val="24"/>
          <w:szCs w:val="24"/>
        </w:rPr>
        <w:t xml:space="preserve">The producers cited economic reasons in their decision to opt out </w:t>
      </w:r>
      <w:r w:rsidR="004F109A">
        <w:rPr>
          <w:rFonts w:cstheme="minorHAnsi"/>
          <w:sz w:val="24"/>
          <w:szCs w:val="24"/>
        </w:rPr>
        <w:t>of the</w:t>
      </w:r>
      <w:r>
        <w:rPr>
          <w:rFonts w:cstheme="minorHAnsi"/>
          <w:sz w:val="24"/>
          <w:szCs w:val="24"/>
        </w:rPr>
        <w:t xml:space="preserve"> </w:t>
      </w:r>
      <w:r w:rsidR="004F109A">
        <w:rPr>
          <w:rFonts w:cstheme="minorHAnsi"/>
          <w:sz w:val="24"/>
          <w:szCs w:val="24"/>
        </w:rPr>
        <w:t>development effort</w:t>
      </w:r>
      <w:r>
        <w:rPr>
          <w:rFonts w:cstheme="minorHAnsi"/>
          <w:sz w:val="24"/>
          <w:szCs w:val="24"/>
        </w:rPr>
        <w:t>.</w:t>
      </w:r>
    </w:p>
    <w:p w14:paraId="11846AC1" w14:textId="391B3D47" w:rsidR="00031BE8" w:rsidRDefault="00A17393" w:rsidP="00A26305">
      <w:pPr>
        <w:spacing w:after="0" w:line="240" w:lineRule="auto"/>
        <w:ind w:firstLine="576"/>
        <w:rPr>
          <w:rFonts w:cstheme="minorHAnsi"/>
          <w:sz w:val="24"/>
          <w:szCs w:val="24"/>
        </w:rPr>
      </w:pPr>
      <w:r>
        <w:rPr>
          <w:rFonts w:cstheme="minorHAnsi"/>
          <w:sz w:val="24"/>
          <w:szCs w:val="24"/>
        </w:rPr>
        <w:t>In the past decade, the Alaska Legislature has appropriated almost $480 million toward the LNG project and the smaller</w:t>
      </w:r>
      <w:r w:rsidR="004F109A">
        <w:rPr>
          <w:rFonts w:cstheme="minorHAnsi"/>
          <w:sz w:val="24"/>
          <w:szCs w:val="24"/>
        </w:rPr>
        <w:t>,</w:t>
      </w:r>
      <w:r>
        <w:rPr>
          <w:rFonts w:cstheme="minorHAnsi"/>
          <w:sz w:val="24"/>
          <w:szCs w:val="24"/>
        </w:rPr>
        <w:t xml:space="preserve"> so-called “backup” plan of a $10 billion North Slope gas project to serve Alaska, without an LNG export component.</w:t>
      </w:r>
      <w:r w:rsidR="00795E90">
        <w:rPr>
          <w:rFonts w:cstheme="minorHAnsi"/>
          <w:sz w:val="24"/>
          <w:szCs w:val="24"/>
        </w:rPr>
        <w:t xml:space="preserve"> </w:t>
      </w:r>
      <w:r w:rsidR="00701D8D">
        <w:rPr>
          <w:rFonts w:cstheme="minorHAnsi"/>
          <w:sz w:val="24"/>
          <w:szCs w:val="24"/>
        </w:rPr>
        <w:t xml:space="preserve"> </w:t>
      </w:r>
      <w:r w:rsidR="00795E90">
        <w:rPr>
          <w:rFonts w:cstheme="minorHAnsi"/>
          <w:sz w:val="24"/>
          <w:szCs w:val="24"/>
        </w:rPr>
        <w:t xml:space="preserve">Most of the state money </w:t>
      </w:r>
      <w:r w:rsidR="00A458A1">
        <w:rPr>
          <w:rFonts w:cstheme="minorHAnsi"/>
          <w:sz w:val="24"/>
          <w:szCs w:val="24"/>
        </w:rPr>
        <w:t>was</w:t>
      </w:r>
      <w:r w:rsidR="00795E90">
        <w:rPr>
          <w:rFonts w:cstheme="minorHAnsi"/>
          <w:sz w:val="24"/>
          <w:szCs w:val="24"/>
        </w:rPr>
        <w:t xml:space="preserve"> spent on engineering and permitting for that Alaska Stand Alone Pipeline (ASAP).</w:t>
      </w:r>
    </w:p>
    <w:p w14:paraId="075998FF" w14:textId="5D4B1814" w:rsidR="00A458A1" w:rsidRDefault="006F5786" w:rsidP="00A26305">
      <w:pPr>
        <w:spacing w:after="0" w:line="240" w:lineRule="auto"/>
        <w:ind w:firstLine="576"/>
        <w:rPr>
          <w:rFonts w:cstheme="minorHAnsi"/>
          <w:sz w:val="24"/>
          <w:szCs w:val="24"/>
        </w:rPr>
      </w:pPr>
      <w:r>
        <w:rPr>
          <w:rFonts w:cstheme="minorHAnsi"/>
          <w:sz w:val="24"/>
          <w:szCs w:val="24"/>
        </w:rPr>
        <w:t>Between the two projects, t</w:t>
      </w:r>
      <w:r w:rsidR="00031BE8">
        <w:rPr>
          <w:rFonts w:cstheme="minorHAnsi"/>
          <w:sz w:val="24"/>
          <w:szCs w:val="24"/>
        </w:rPr>
        <w:t xml:space="preserve">he corporation has spent about $460 million of the </w:t>
      </w:r>
      <w:r w:rsidR="00A458A1">
        <w:rPr>
          <w:rFonts w:cstheme="minorHAnsi"/>
          <w:sz w:val="24"/>
          <w:szCs w:val="24"/>
        </w:rPr>
        <w:t xml:space="preserve">state </w:t>
      </w:r>
      <w:r w:rsidR="00031BE8">
        <w:rPr>
          <w:rFonts w:cstheme="minorHAnsi"/>
          <w:sz w:val="24"/>
          <w:szCs w:val="24"/>
        </w:rPr>
        <w:t>appropriations.</w:t>
      </w:r>
    </w:p>
    <w:p w14:paraId="25A781A4" w14:textId="3C15099A" w:rsidR="00A17393" w:rsidRDefault="00031BE8" w:rsidP="00A26305">
      <w:pPr>
        <w:spacing w:after="0" w:line="240" w:lineRule="auto"/>
        <w:ind w:firstLine="576"/>
        <w:rPr>
          <w:rFonts w:cstheme="minorHAnsi"/>
          <w:sz w:val="24"/>
          <w:szCs w:val="24"/>
        </w:rPr>
      </w:pPr>
      <w:r>
        <w:rPr>
          <w:rFonts w:cstheme="minorHAnsi"/>
          <w:sz w:val="24"/>
          <w:szCs w:val="24"/>
        </w:rPr>
        <w:t xml:space="preserve">ExxonMobil and BP have been contributing to the </w:t>
      </w:r>
      <w:r w:rsidR="006F5786">
        <w:rPr>
          <w:rFonts w:cstheme="minorHAnsi"/>
          <w:sz w:val="24"/>
          <w:szCs w:val="24"/>
        </w:rPr>
        <w:t xml:space="preserve">Alaska LNG </w:t>
      </w:r>
      <w:r>
        <w:rPr>
          <w:rFonts w:cstheme="minorHAnsi"/>
          <w:sz w:val="24"/>
          <w:szCs w:val="24"/>
        </w:rPr>
        <w:t xml:space="preserve">effort the past year, </w:t>
      </w:r>
      <w:r w:rsidR="00A458A1">
        <w:rPr>
          <w:rFonts w:cstheme="minorHAnsi"/>
          <w:sz w:val="24"/>
          <w:szCs w:val="24"/>
        </w:rPr>
        <w:t>limiting the</w:t>
      </w:r>
      <w:r>
        <w:rPr>
          <w:rFonts w:cstheme="minorHAnsi"/>
          <w:sz w:val="24"/>
          <w:szCs w:val="24"/>
        </w:rPr>
        <w:t xml:space="preserve">ir spending </w:t>
      </w:r>
      <w:r w:rsidR="00A458A1">
        <w:rPr>
          <w:rFonts w:cstheme="minorHAnsi"/>
          <w:sz w:val="24"/>
          <w:szCs w:val="24"/>
        </w:rPr>
        <w:t>to</w:t>
      </w:r>
      <w:r>
        <w:rPr>
          <w:rFonts w:cstheme="minorHAnsi"/>
          <w:sz w:val="24"/>
          <w:szCs w:val="24"/>
        </w:rPr>
        <w:t xml:space="preserve"> no more than $10 million each toward finishing the FERC process and other work.</w:t>
      </w:r>
    </w:p>
    <w:p w14:paraId="3B55C372" w14:textId="650A9A44" w:rsidR="00631997" w:rsidRDefault="00AE3FF2" w:rsidP="00AE3FF2">
      <w:pPr>
        <w:spacing w:after="0" w:line="240" w:lineRule="auto"/>
        <w:ind w:firstLine="576"/>
        <w:rPr>
          <w:rFonts w:cstheme="minorHAnsi"/>
          <w:sz w:val="24"/>
          <w:szCs w:val="24"/>
        </w:rPr>
      </w:pPr>
      <w:r>
        <w:rPr>
          <w:rFonts w:cstheme="minorHAnsi"/>
          <w:sz w:val="24"/>
          <w:szCs w:val="24"/>
        </w:rPr>
        <w:t xml:space="preserve">As the work on the FERC-led environmental statement is nearing its finish, AGDC’s spending has slowed down. </w:t>
      </w:r>
      <w:r w:rsidR="00701D8D">
        <w:rPr>
          <w:rFonts w:cstheme="minorHAnsi"/>
          <w:sz w:val="24"/>
          <w:szCs w:val="24"/>
        </w:rPr>
        <w:t xml:space="preserve"> </w:t>
      </w:r>
      <w:r>
        <w:rPr>
          <w:rFonts w:cstheme="minorHAnsi"/>
          <w:sz w:val="24"/>
          <w:szCs w:val="24"/>
        </w:rPr>
        <w:t xml:space="preserve">The corporation spent </w:t>
      </w:r>
      <w:r w:rsidR="004F109A">
        <w:rPr>
          <w:rFonts w:cstheme="minorHAnsi"/>
          <w:sz w:val="24"/>
          <w:szCs w:val="24"/>
        </w:rPr>
        <w:t>about</w:t>
      </w:r>
      <w:r>
        <w:rPr>
          <w:rFonts w:cstheme="minorHAnsi"/>
          <w:sz w:val="24"/>
          <w:szCs w:val="24"/>
        </w:rPr>
        <w:t xml:space="preserve"> $9.5 million in the first nine months of the fiscal year that ends June 30.</w:t>
      </w:r>
    </w:p>
    <w:p w14:paraId="5F021F89" w14:textId="6437B325" w:rsidR="00AE3FF2" w:rsidRDefault="00AE3FF2" w:rsidP="00AE3FF2">
      <w:pPr>
        <w:spacing w:after="0" w:line="240" w:lineRule="auto"/>
        <w:ind w:firstLine="576"/>
        <w:rPr>
          <w:rFonts w:cstheme="minorHAnsi"/>
          <w:sz w:val="24"/>
          <w:szCs w:val="24"/>
        </w:rPr>
      </w:pPr>
      <w:r>
        <w:rPr>
          <w:rFonts w:cstheme="minorHAnsi"/>
          <w:sz w:val="24"/>
          <w:szCs w:val="24"/>
        </w:rPr>
        <w:t xml:space="preserve">The corporation has </w:t>
      </w:r>
      <w:r w:rsidR="00D154C3">
        <w:rPr>
          <w:rFonts w:cstheme="minorHAnsi"/>
          <w:sz w:val="24"/>
          <w:szCs w:val="24"/>
        </w:rPr>
        <w:t xml:space="preserve">legislative authorization to use its available </w:t>
      </w:r>
      <w:r>
        <w:rPr>
          <w:rFonts w:cstheme="minorHAnsi"/>
          <w:sz w:val="24"/>
          <w:szCs w:val="24"/>
        </w:rPr>
        <w:t xml:space="preserve">funds through the end of the </w:t>
      </w:r>
      <w:r w:rsidR="00D154C3">
        <w:rPr>
          <w:rFonts w:cstheme="minorHAnsi"/>
          <w:sz w:val="24"/>
          <w:szCs w:val="24"/>
        </w:rPr>
        <w:t xml:space="preserve">next </w:t>
      </w:r>
      <w:r>
        <w:rPr>
          <w:rFonts w:cstheme="minorHAnsi"/>
          <w:sz w:val="24"/>
          <w:szCs w:val="24"/>
        </w:rPr>
        <w:t>fiscal year</w:t>
      </w:r>
      <w:r w:rsidR="00BE3794">
        <w:rPr>
          <w:rFonts w:cstheme="minorHAnsi"/>
          <w:sz w:val="24"/>
          <w:szCs w:val="24"/>
        </w:rPr>
        <w:t xml:space="preserve"> in </w:t>
      </w:r>
      <w:r>
        <w:rPr>
          <w:rFonts w:cstheme="minorHAnsi"/>
          <w:sz w:val="24"/>
          <w:szCs w:val="24"/>
        </w:rPr>
        <w:t>June 2021.</w:t>
      </w:r>
    </w:p>
    <w:p w14:paraId="71641C70" w14:textId="36B73180" w:rsidR="00A458A1" w:rsidRDefault="00A458A1" w:rsidP="00A458A1">
      <w:pPr>
        <w:spacing w:after="0" w:line="240" w:lineRule="auto"/>
        <w:ind w:firstLine="576"/>
        <w:rPr>
          <w:rFonts w:cstheme="minorHAnsi"/>
          <w:sz w:val="24"/>
          <w:szCs w:val="24"/>
        </w:rPr>
      </w:pPr>
      <w:r>
        <w:rPr>
          <w:rFonts w:cstheme="minorHAnsi"/>
          <w:sz w:val="24"/>
          <w:szCs w:val="24"/>
        </w:rPr>
        <w:t xml:space="preserve">Gov. Dunleavy, now about 18 months into his four-year term, has </w:t>
      </w:r>
      <w:r w:rsidR="004F109A">
        <w:rPr>
          <w:rFonts w:cstheme="minorHAnsi"/>
          <w:sz w:val="24"/>
          <w:szCs w:val="24"/>
        </w:rPr>
        <w:t xml:space="preserve">steadfastly </w:t>
      </w:r>
      <w:r>
        <w:rPr>
          <w:rFonts w:cstheme="minorHAnsi"/>
          <w:sz w:val="24"/>
          <w:szCs w:val="24"/>
        </w:rPr>
        <w:t xml:space="preserve">advocated that the state step away from leading the effort and look for private companies to take over </w:t>
      </w:r>
      <w:r w:rsidR="00AE3FF2">
        <w:rPr>
          <w:rFonts w:cstheme="minorHAnsi"/>
          <w:sz w:val="24"/>
          <w:szCs w:val="24"/>
        </w:rPr>
        <w:t>the LNG project</w:t>
      </w:r>
      <w:r>
        <w:rPr>
          <w:rFonts w:cstheme="minorHAnsi"/>
          <w:sz w:val="24"/>
          <w:szCs w:val="24"/>
        </w:rPr>
        <w:t>.</w:t>
      </w:r>
    </w:p>
    <w:p w14:paraId="3554126F" w14:textId="62CD1BDC" w:rsidR="00795E90" w:rsidRDefault="00AE3FF2" w:rsidP="00A26305">
      <w:pPr>
        <w:spacing w:after="0" w:line="240" w:lineRule="auto"/>
        <w:ind w:firstLine="576"/>
        <w:rPr>
          <w:rFonts w:cstheme="minorHAnsi"/>
          <w:sz w:val="24"/>
          <w:szCs w:val="24"/>
        </w:rPr>
      </w:pPr>
      <w:r>
        <w:rPr>
          <w:rFonts w:cstheme="minorHAnsi"/>
          <w:sz w:val="24"/>
          <w:szCs w:val="24"/>
        </w:rPr>
        <w:t>J</w:t>
      </w:r>
      <w:r w:rsidR="00795E90">
        <w:rPr>
          <w:rFonts w:cstheme="minorHAnsi"/>
          <w:sz w:val="24"/>
          <w:szCs w:val="24"/>
        </w:rPr>
        <w:t xml:space="preserve">ust as the larger, export-driven project has </w:t>
      </w:r>
      <w:r w:rsidR="000F6024">
        <w:rPr>
          <w:rFonts w:cstheme="minorHAnsi"/>
          <w:sz w:val="24"/>
          <w:szCs w:val="24"/>
        </w:rPr>
        <w:t>been unable to pass the economic</w:t>
      </w:r>
      <w:r>
        <w:rPr>
          <w:rFonts w:cstheme="minorHAnsi"/>
          <w:sz w:val="24"/>
          <w:szCs w:val="24"/>
        </w:rPr>
        <w:t>s</w:t>
      </w:r>
      <w:r w:rsidR="000F6024">
        <w:rPr>
          <w:rFonts w:cstheme="minorHAnsi"/>
          <w:sz w:val="24"/>
          <w:szCs w:val="24"/>
        </w:rPr>
        <w:t xml:space="preserve"> test in a highly competitive global marketplace, so too has the ASAP line proven to be unaffordable</w:t>
      </w:r>
      <w:r w:rsidR="006F5786">
        <w:rPr>
          <w:rFonts w:cstheme="minorHAnsi"/>
          <w:sz w:val="24"/>
          <w:szCs w:val="24"/>
        </w:rPr>
        <w:t xml:space="preserve"> for </w:t>
      </w:r>
      <w:r w:rsidR="006F5786">
        <w:rPr>
          <w:rFonts w:cstheme="minorHAnsi"/>
          <w:sz w:val="24"/>
          <w:szCs w:val="24"/>
        </w:rPr>
        <w:lastRenderedPageBreak/>
        <w:t>the small in-state market</w:t>
      </w:r>
      <w:r w:rsidR="000F6024">
        <w:rPr>
          <w:rFonts w:cstheme="minorHAnsi"/>
          <w:sz w:val="24"/>
          <w:szCs w:val="24"/>
        </w:rPr>
        <w:t>.</w:t>
      </w:r>
      <w:r w:rsidR="00701D8D">
        <w:rPr>
          <w:rFonts w:cstheme="minorHAnsi"/>
          <w:sz w:val="24"/>
          <w:szCs w:val="24"/>
        </w:rPr>
        <w:t xml:space="preserve"> </w:t>
      </w:r>
      <w:r w:rsidR="000F6024">
        <w:rPr>
          <w:rFonts w:cstheme="minorHAnsi"/>
          <w:sz w:val="24"/>
          <w:szCs w:val="24"/>
        </w:rPr>
        <w:t xml:space="preserve"> Among the assumptions that went into AGDC’s strategic plan is the statement that the ASAP project “has been determined to not be economically viable.”</w:t>
      </w:r>
    </w:p>
    <w:p w14:paraId="0CA7215F" w14:textId="71B2BC1B" w:rsidR="000E5659" w:rsidRDefault="00D6388D" w:rsidP="00A26305">
      <w:pPr>
        <w:spacing w:after="0" w:line="240" w:lineRule="auto"/>
        <w:ind w:firstLine="576"/>
        <w:rPr>
          <w:rFonts w:cstheme="minorHAnsi"/>
          <w:sz w:val="24"/>
          <w:szCs w:val="24"/>
        </w:rPr>
      </w:pPr>
      <w:r>
        <w:rPr>
          <w:rFonts w:cstheme="minorHAnsi"/>
          <w:sz w:val="24"/>
          <w:szCs w:val="24"/>
        </w:rPr>
        <w:t xml:space="preserve">The Legislature created the state corporation in 2010 in hopes of developing a North Slope gas project </w:t>
      </w:r>
      <w:r w:rsidR="00AE3FF2">
        <w:rPr>
          <w:rFonts w:cstheme="minorHAnsi"/>
          <w:sz w:val="24"/>
          <w:szCs w:val="24"/>
        </w:rPr>
        <w:t xml:space="preserve">(the ASAP line) </w:t>
      </w:r>
      <w:r>
        <w:rPr>
          <w:rFonts w:cstheme="minorHAnsi"/>
          <w:sz w:val="24"/>
          <w:szCs w:val="24"/>
        </w:rPr>
        <w:t>to reduce Southcentral</w:t>
      </w:r>
      <w:r w:rsidR="00994843">
        <w:rPr>
          <w:rFonts w:cstheme="minorHAnsi"/>
          <w:sz w:val="24"/>
          <w:szCs w:val="24"/>
        </w:rPr>
        <w:t xml:space="preserve"> Alaska</w:t>
      </w:r>
      <w:r>
        <w:rPr>
          <w:rFonts w:cstheme="minorHAnsi"/>
          <w:sz w:val="24"/>
          <w:szCs w:val="24"/>
        </w:rPr>
        <w:t xml:space="preserve">’s dependence on Cook Inlet natural gas supplies, which had become </w:t>
      </w:r>
      <w:r w:rsidR="006F5786">
        <w:rPr>
          <w:rFonts w:cstheme="minorHAnsi"/>
          <w:sz w:val="24"/>
          <w:szCs w:val="24"/>
        </w:rPr>
        <w:t>uncertain</w:t>
      </w:r>
      <w:r>
        <w:rPr>
          <w:rFonts w:cstheme="minorHAnsi"/>
          <w:sz w:val="24"/>
          <w:szCs w:val="24"/>
        </w:rPr>
        <w:t xml:space="preserve"> as producers stopped exploring for new supplies.</w:t>
      </w:r>
      <w:r w:rsidR="00AE3FF2">
        <w:rPr>
          <w:rFonts w:cstheme="minorHAnsi"/>
          <w:sz w:val="24"/>
          <w:szCs w:val="24"/>
        </w:rPr>
        <w:t xml:space="preserve"> </w:t>
      </w:r>
      <w:r w:rsidR="00701D8D">
        <w:rPr>
          <w:rFonts w:cstheme="minorHAnsi"/>
          <w:sz w:val="24"/>
          <w:szCs w:val="24"/>
        </w:rPr>
        <w:t xml:space="preserve"> </w:t>
      </w:r>
      <w:r w:rsidR="00AE3FF2">
        <w:rPr>
          <w:rFonts w:cstheme="minorHAnsi"/>
          <w:sz w:val="24"/>
          <w:szCs w:val="24"/>
        </w:rPr>
        <w:t>Legislators’ hopes also included getting North Slope gas to Fairbanks.</w:t>
      </w:r>
    </w:p>
    <w:p w14:paraId="131C5234" w14:textId="70E75B4E" w:rsidR="000F6024" w:rsidRDefault="00D6388D" w:rsidP="00A26305">
      <w:pPr>
        <w:spacing w:after="0" w:line="240" w:lineRule="auto"/>
        <w:ind w:firstLine="576"/>
        <w:rPr>
          <w:rFonts w:cstheme="minorHAnsi"/>
          <w:sz w:val="24"/>
          <w:szCs w:val="24"/>
        </w:rPr>
      </w:pPr>
      <w:r>
        <w:rPr>
          <w:rFonts w:cstheme="minorHAnsi"/>
          <w:sz w:val="24"/>
          <w:szCs w:val="24"/>
        </w:rPr>
        <w:t xml:space="preserve">Since then Cook Inlet legacy producers pulled out of the basin and sold their assets to Houston-based independent Hilcorp, </w:t>
      </w:r>
      <w:r w:rsidR="00AE3FF2">
        <w:rPr>
          <w:rFonts w:cstheme="minorHAnsi"/>
          <w:sz w:val="24"/>
          <w:szCs w:val="24"/>
        </w:rPr>
        <w:t>which invested heavily in production to meet local needs and</w:t>
      </w:r>
      <w:r>
        <w:rPr>
          <w:rFonts w:cstheme="minorHAnsi"/>
          <w:sz w:val="24"/>
          <w:szCs w:val="24"/>
        </w:rPr>
        <w:t xml:space="preserve"> now </w:t>
      </w:r>
      <w:r w:rsidR="00AE3FF2">
        <w:rPr>
          <w:rFonts w:cstheme="minorHAnsi"/>
          <w:sz w:val="24"/>
          <w:szCs w:val="24"/>
        </w:rPr>
        <w:t>produces</w:t>
      </w:r>
      <w:r>
        <w:rPr>
          <w:rFonts w:cstheme="minorHAnsi"/>
          <w:sz w:val="24"/>
          <w:szCs w:val="24"/>
        </w:rPr>
        <w:t xml:space="preserve"> </w:t>
      </w:r>
      <w:r w:rsidR="00AE3FF2">
        <w:rPr>
          <w:rFonts w:cstheme="minorHAnsi"/>
          <w:sz w:val="24"/>
          <w:szCs w:val="24"/>
        </w:rPr>
        <w:t>more than 80%</w:t>
      </w:r>
      <w:r>
        <w:rPr>
          <w:rFonts w:cstheme="minorHAnsi"/>
          <w:sz w:val="24"/>
          <w:szCs w:val="24"/>
        </w:rPr>
        <w:t xml:space="preserve"> of </w:t>
      </w:r>
      <w:r w:rsidR="00AE3FF2">
        <w:rPr>
          <w:rFonts w:cstheme="minorHAnsi"/>
          <w:sz w:val="24"/>
          <w:szCs w:val="24"/>
        </w:rPr>
        <w:t xml:space="preserve">Southcentral Alaska’s </w:t>
      </w:r>
      <w:r>
        <w:rPr>
          <w:rFonts w:cstheme="minorHAnsi"/>
          <w:sz w:val="24"/>
          <w:szCs w:val="24"/>
        </w:rPr>
        <w:t>gas supply</w:t>
      </w:r>
      <w:r w:rsidR="00AE3FF2">
        <w:rPr>
          <w:rFonts w:cstheme="minorHAnsi"/>
          <w:sz w:val="24"/>
          <w:szCs w:val="24"/>
        </w:rPr>
        <w:t>.</w:t>
      </w:r>
      <w:bookmarkStart w:id="0" w:name="_GoBack"/>
      <w:bookmarkEnd w:id="0"/>
    </w:p>
    <w:sectPr w:rsidR="000F60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1FA50" w14:textId="77777777" w:rsidR="00176B1D" w:rsidRDefault="00176B1D" w:rsidP="005340B6">
      <w:pPr>
        <w:spacing w:after="0" w:line="240" w:lineRule="auto"/>
      </w:pPr>
      <w:r>
        <w:separator/>
      </w:r>
    </w:p>
  </w:endnote>
  <w:endnote w:type="continuationSeparator" w:id="0">
    <w:p w14:paraId="44D88825" w14:textId="77777777" w:rsidR="00176B1D" w:rsidRDefault="00176B1D" w:rsidP="00534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54401"/>
      <w:docPartObj>
        <w:docPartGallery w:val="Page Numbers (Bottom of Page)"/>
        <w:docPartUnique/>
      </w:docPartObj>
    </w:sdtPr>
    <w:sdtEndPr>
      <w:rPr>
        <w:color w:val="7F7F7F" w:themeColor="background1" w:themeShade="7F"/>
        <w:spacing w:val="60"/>
      </w:rPr>
    </w:sdtEndPr>
    <w:sdtContent>
      <w:p w14:paraId="70239893" w14:textId="43CA0E55" w:rsidR="005340B6" w:rsidRDefault="00534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83183">
          <w:rPr>
            <w:noProof/>
          </w:rPr>
          <w:t>3</w:t>
        </w:r>
        <w:r>
          <w:rPr>
            <w:noProof/>
          </w:rPr>
          <w:fldChar w:fldCharType="end"/>
        </w:r>
        <w:r>
          <w:t xml:space="preserve"> | </w:t>
        </w:r>
        <w:r>
          <w:rPr>
            <w:color w:val="7F7F7F" w:themeColor="background1" w:themeShade="7F"/>
            <w:spacing w:val="60"/>
          </w:rPr>
          <w:t>Page</w:t>
        </w:r>
      </w:p>
    </w:sdtContent>
  </w:sdt>
  <w:p w14:paraId="7E717B82" w14:textId="77777777" w:rsidR="005340B6" w:rsidRDefault="005340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6146" w14:textId="77777777" w:rsidR="00176B1D" w:rsidRDefault="00176B1D" w:rsidP="005340B6">
      <w:pPr>
        <w:spacing w:after="0" w:line="240" w:lineRule="auto"/>
      </w:pPr>
      <w:r>
        <w:separator/>
      </w:r>
    </w:p>
  </w:footnote>
  <w:footnote w:type="continuationSeparator" w:id="0">
    <w:p w14:paraId="5EA4CA7B" w14:textId="77777777" w:rsidR="00176B1D" w:rsidRDefault="00176B1D" w:rsidP="00534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042"/>
    <w:multiLevelType w:val="hybridMultilevel"/>
    <w:tmpl w:val="7EF89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D039CF"/>
    <w:multiLevelType w:val="hybridMultilevel"/>
    <w:tmpl w:val="D398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2BF2"/>
    <w:multiLevelType w:val="hybridMultilevel"/>
    <w:tmpl w:val="5D1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C232D"/>
    <w:multiLevelType w:val="hybridMultilevel"/>
    <w:tmpl w:val="6038C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9D5C20"/>
    <w:multiLevelType w:val="hybridMultilevel"/>
    <w:tmpl w:val="0E321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F81041"/>
    <w:multiLevelType w:val="hybridMultilevel"/>
    <w:tmpl w:val="7C5C5E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E00136"/>
    <w:multiLevelType w:val="hybridMultilevel"/>
    <w:tmpl w:val="BAD62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C21FC6"/>
    <w:multiLevelType w:val="hybridMultilevel"/>
    <w:tmpl w:val="5126B3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71B5E"/>
    <w:multiLevelType w:val="hybridMultilevel"/>
    <w:tmpl w:val="5D84E79C"/>
    <w:lvl w:ilvl="0" w:tplc="1E76D9B4">
      <w:start w:val="1"/>
      <w:numFmt w:val="upp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156E0"/>
    <w:multiLevelType w:val="hybridMultilevel"/>
    <w:tmpl w:val="C388CD58"/>
    <w:lvl w:ilvl="0" w:tplc="694602B4">
      <w:start w:val="1"/>
      <w:numFmt w:val="upp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15911"/>
    <w:multiLevelType w:val="hybridMultilevel"/>
    <w:tmpl w:val="66F2C6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5"/>
  </w:num>
  <w:num w:numId="6">
    <w:abstractNumId w:val="0"/>
  </w:num>
  <w:num w:numId="7">
    <w:abstractNumId w:val="3"/>
  </w:num>
  <w:num w:numId="8">
    <w:abstractNumId w:val="1"/>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19"/>
    <w:rsid w:val="00004073"/>
    <w:rsid w:val="00006B07"/>
    <w:rsid w:val="00013358"/>
    <w:rsid w:val="00031BE8"/>
    <w:rsid w:val="00032A74"/>
    <w:rsid w:val="00034130"/>
    <w:rsid w:val="00041294"/>
    <w:rsid w:val="0004604B"/>
    <w:rsid w:val="00063CE2"/>
    <w:rsid w:val="00076C4D"/>
    <w:rsid w:val="000825BE"/>
    <w:rsid w:val="0008374C"/>
    <w:rsid w:val="00092019"/>
    <w:rsid w:val="000A5100"/>
    <w:rsid w:val="000B1974"/>
    <w:rsid w:val="000C00E6"/>
    <w:rsid w:val="000C4C25"/>
    <w:rsid w:val="000C68C9"/>
    <w:rsid w:val="000E1A8E"/>
    <w:rsid w:val="000E1B26"/>
    <w:rsid w:val="000E554C"/>
    <w:rsid w:val="000E5659"/>
    <w:rsid w:val="000F6024"/>
    <w:rsid w:val="000F7775"/>
    <w:rsid w:val="00106834"/>
    <w:rsid w:val="001073B3"/>
    <w:rsid w:val="00116094"/>
    <w:rsid w:val="00117548"/>
    <w:rsid w:val="0012191E"/>
    <w:rsid w:val="00141A03"/>
    <w:rsid w:val="0014338A"/>
    <w:rsid w:val="001443E3"/>
    <w:rsid w:val="001453F5"/>
    <w:rsid w:val="00146CAE"/>
    <w:rsid w:val="00153680"/>
    <w:rsid w:val="0016111C"/>
    <w:rsid w:val="00163BF3"/>
    <w:rsid w:val="0016561A"/>
    <w:rsid w:val="0017196B"/>
    <w:rsid w:val="00176B1D"/>
    <w:rsid w:val="001803E2"/>
    <w:rsid w:val="001829B3"/>
    <w:rsid w:val="00183CE5"/>
    <w:rsid w:val="001C3860"/>
    <w:rsid w:val="001C542D"/>
    <w:rsid w:val="001D2A96"/>
    <w:rsid w:val="001D3E04"/>
    <w:rsid w:val="001D65F4"/>
    <w:rsid w:val="001F0DF2"/>
    <w:rsid w:val="001F2CF7"/>
    <w:rsid w:val="001F6A82"/>
    <w:rsid w:val="002021C5"/>
    <w:rsid w:val="00204556"/>
    <w:rsid w:val="002046E3"/>
    <w:rsid w:val="00212EE7"/>
    <w:rsid w:val="0021307A"/>
    <w:rsid w:val="002168DE"/>
    <w:rsid w:val="00244ED0"/>
    <w:rsid w:val="00282D2F"/>
    <w:rsid w:val="00285976"/>
    <w:rsid w:val="002863D4"/>
    <w:rsid w:val="00291601"/>
    <w:rsid w:val="00291890"/>
    <w:rsid w:val="00292076"/>
    <w:rsid w:val="00293870"/>
    <w:rsid w:val="00295EDC"/>
    <w:rsid w:val="00296E30"/>
    <w:rsid w:val="002A109A"/>
    <w:rsid w:val="002B6C66"/>
    <w:rsid w:val="002B6EA2"/>
    <w:rsid w:val="002D1258"/>
    <w:rsid w:val="002E7E28"/>
    <w:rsid w:val="002F1258"/>
    <w:rsid w:val="00312716"/>
    <w:rsid w:val="00312901"/>
    <w:rsid w:val="00327027"/>
    <w:rsid w:val="0033341A"/>
    <w:rsid w:val="00341E98"/>
    <w:rsid w:val="00352596"/>
    <w:rsid w:val="0035722A"/>
    <w:rsid w:val="00385931"/>
    <w:rsid w:val="003A20E1"/>
    <w:rsid w:val="003A64EB"/>
    <w:rsid w:val="003D0443"/>
    <w:rsid w:val="003E07A3"/>
    <w:rsid w:val="003E4E31"/>
    <w:rsid w:val="003F1DFA"/>
    <w:rsid w:val="003F58AA"/>
    <w:rsid w:val="003F6084"/>
    <w:rsid w:val="004272E0"/>
    <w:rsid w:val="00430B05"/>
    <w:rsid w:val="00436FEE"/>
    <w:rsid w:val="004509B4"/>
    <w:rsid w:val="00454336"/>
    <w:rsid w:val="00486C97"/>
    <w:rsid w:val="00490778"/>
    <w:rsid w:val="00497BA4"/>
    <w:rsid w:val="004B2289"/>
    <w:rsid w:val="004B7739"/>
    <w:rsid w:val="004C0D4B"/>
    <w:rsid w:val="004C566E"/>
    <w:rsid w:val="004D1A96"/>
    <w:rsid w:val="004D30AD"/>
    <w:rsid w:val="004D7F6B"/>
    <w:rsid w:val="004E453D"/>
    <w:rsid w:val="004F109A"/>
    <w:rsid w:val="004F682A"/>
    <w:rsid w:val="004F6D27"/>
    <w:rsid w:val="005163EF"/>
    <w:rsid w:val="00525052"/>
    <w:rsid w:val="005334EF"/>
    <w:rsid w:val="005340B6"/>
    <w:rsid w:val="00544FE2"/>
    <w:rsid w:val="0055253B"/>
    <w:rsid w:val="00557BF1"/>
    <w:rsid w:val="005608AF"/>
    <w:rsid w:val="00565E07"/>
    <w:rsid w:val="0057718A"/>
    <w:rsid w:val="00585BCB"/>
    <w:rsid w:val="00590167"/>
    <w:rsid w:val="005C415B"/>
    <w:rsid w:val="005E37B7"/>
    <w:rsid w:val="005E40A6"/>
    <w:rsid w:val="005F4DED"/>
    <w:rsid w:val="00631997"/>
    <w:rsid w:val="00634D19"/>
    <w:rsid w:val="00637280"/>
    <w:rsid w:val="006719E5"/>
    <w:rsid w:val="006817AC"/>
    <w:rsid w:val="006B7835"/>
    <w:rsid w:val="006F03F2"/>
    <w:rsid w:val="006F5786"/>
    <w:rsid w:val="006F6AC5"/>
    <w:rsid w:val="00701D8D"/>
    <w:rsid w:val="00735E2F"/>
    <w:rsid w:val="00756822"/>
    <w:rsid w:val="007675BC"/>
    <w:rsid w:val="007769C5"/>
    <w:rsid w:val="007832B8"/>
    <w:rsid w:val="007835C2"/>
    <w:rsid w:val="007913CD"/>
    <w:rsid w:val="00795E90"/>
    <w:rsid w:val="007A0CD7"/>
    <w:rsid w:val="007A219D"/>
    <w:rsid w:val="007B61C7"/>
    <w:rsid w:val="007C1D73"/>
    <w:rsid w:val="007C445A"/>
    <w:rsid w:val="007D346C"/>
    <w:rsid w:val="008034D1"/>
    <w:rsid w:val="00820B8F"/>
    <w:rsid w:val="00820DC4"/>
    <w:rsid w:val="00845570"/>
    <w:rsid w:val="00852393"/>
    <w:rsid w:val="00867E12"/>
    <w:rsid w:val="00874EBF"/>
    <w:rsid w:val="00890C20"/>
    <w:rsid w:val="008A42CC"/>
    <w:rsid w:val="008B74A1"/>
    <w:rsid w:val="008B7FA4"/>
    <w:rsid w:val="008C32A0"/>
    <w:rsid w:val="008C7F94"/>
    <w:rsid w:val="008D6CE1"/>
    <w:rsid w:val="008E14A9"/>
    <w:rsid w:val="008E24AA"/>
    <w:rsid w:val="008F0C9A"/>
    <w:rsid w:val="008F7389"/>
    <w:rsid w:val="0091480A"/>
    <w:rsid w:val="00941B35"/>
    <w:rsid w:val="00946E9D"/>
    <w:rsid w:val="009538A7"/>
    <w:rsid w:val="00953AFA"/>
    <w:rsid w:val="00966B1C"/>
    <w:rsid w:val="009874E8"/>
    <w:rsid w:val="00994843"/>
    <w:rsid w:val="009A5779"/>
    <w:rsid w:val="009A7DE1"/>
    <w:rsid w:val="009E0C88"/>
    <w:rsid w:val="00A058D3"/>
    <w:rsid w:val="00A06592"/>
    <w:rsid w:val="00A06766"/>
    <w:rsid w:val="00A143C4"/>
    <w:rsid w:val="00A163B6"/>
    <w:rsid w:val="00A17393"/>
    <w:rsid w:val="00A26305"/>
    <w:rsid w:val="00A43A2F"/>
    <w:rsid w:val="00A458A1"/>
    <w:rsid w:val="00A64A07"/>
    <w:rsid w:val="00A95E4F"/>
    <w:rsid w:val="00AC3F97"/>
    <w:rsid w:val="00AD245E"/>
    <w:rsid w:val="00AE3FF2"/>
    <w:rsid w:val="00AE61CD"/>
    <w:rsid w:val="00B01122"/>
    <w:rsid w:val="00B04DEE"/>
    <w:rsid w:val="00B10E41"/>
    <w:rsid w:val="00B22933"/>
    <w:rsid w:val="00B25105"/>
    <w:rsid w:val="00B37DA4"/>
    <w:rsid w:val="00B473FC"/>
    <w:rsid w:val="00B61727"/>
    <w:rsid w:val="00B80C1E"/>
    <w:rsid w:val="00BA2A55"/>
    <w:rsid w:val="00BA484B"/>
    <w:rsid w:val="00BB0A73"/>
    <w:rsid w:val="00BB0F0B"/>
    <w:rsid w:val="00BE3794"/>
    <w:rsid w:val="00BE37FC"/>
    <w:rsid w:val="00BE4BB9"/>
    <w:rsid w:val="00BF4CAF"/>
    <w:rsid w:val="00BF505D"/>
    <w:rsid w:val="00C12F58"/>
    <w:rsid w:val="00C24793"/>
    <w:rsid w:val="00C46BFE"/>
    <w:rsid w:val="00C53157"/>
    <w:rsid w:val="00C5647F"/>
    <w:rsid w:val="00C62C0D"/>
    <w:rsid w:val="00C633F3"/>
    <w:rsid w:val="00C86A0C"/>
    <w:rsid w:val="00C9344A"/>
    <w:rsid w:val="00C954EA"/>
    <w:rsid w:val="00C95BD3"/>
    <w:rsid w:val="00C96497"/>
    <w:rsid w:val="00CA0E7C"/>
    <w:rsid w:val="00CA657D"/>
    <w:rsid w:val="00CD5853"/>
    <w:rsid w:val="00CF5DCE"/>
    <w:rsid w:val="00D04C5F"/>
    <w:rsid w:val="00D1338B"/>
    <w:rsid w:val="00D154C3"/>
    <w:rsid w:val="00D170F2"/>
    <w:rsid w:val="00D20A43"/>
    <w:rsid w:val="00D3116B"/>
    <w:rsid w:val="00D342FB"/>
    <w:rsid w:val="00D3459F"/>
    <w:rsid w:val="00D50764"/>
    <w:rsid w:val="00D6388D"/>
    <w:rsid w:val="00D71982"/>
    <w:rsid w:val="00D82F14"/>
    <w:rsid w:val="00D83183"/>
    <w:rsid w:val="00DB206C"/>
    <w:rsid w:val="00DB42A5"/>
    <w:rsid w:val="00DB5DB4"/>
    <w:rsid w:val="00DF1663"/>
    <w:rsid w:val="00DF7C00"/>
    <w:rsid w:val="00E02F64"/>
    <w:rsid w:val="00E2600E"/>
    <w:rsid w:val="00E33E9A"/>
    <w:rsid w:val="00E625F2"/>
    <w:rsid w:val="00E675D3"/>
    <w:rsid w:val="00E72FAC"/>
    <w:rsid w:val="00E76C91"/>
    <w:rsid w:val="00E971F2"/>
    <w:rsid w:val="00EB470B"/>
    <w:rsid w:val="00ED1BA5"/>
    <w:rsid w:val="00F15638"/>
    <w:rsid w:val="00F210BA"/>
    <w:rsid w:val="00F31EBD"/>
    <w:rsid w:val="00F3656F"/>
    <w:rsid w:val="00F3766F"/>
    <w:rsid w:val="00F4498A"/>
    <w:rsid w:val="00F5484C"/>
    <w:rsid w:val="00F60E16"/>
    <w:rsid w:val="00F76650"/>
    <w:rsid w:val="00F8758C"/>
    <w:rsid w:val="00F92A55"/>
    <w:rsid w:val="00FC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D1818"/>
  <w15:chartTrackingRefBased/>
  <w15:docId w15:val="{79FBB539-262E-4A96-BE62-500197B3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43A2F"/>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8F"/>
    <w:rPr>
      <w:color w:val="0563C1" w:themeColor="hyperlink"/>
      <w:u w:val="single"/>
    </w:rPr>
  </w:style>
  <w:style w:type="character" w:customStyle="1" w:styleId="UnresolvedMention">
    <w:name w:val="Unresolved Mention"/>
    <w:basedOn w:val="DefaultParagraphFont"/>
    <w:uiPriority w:val="99"/>
    <w:semiHidden/>
    <w:unhideWhenUsed/>
    <w:rsid w:val="00820B8F"/>
    <w:rPr>
      <w:color w:val="605E5C"/>
      <w:shd w:val="clear" w:color="auto" w:fill="E1DFDD"/>
    </w:rPr>
  </w:style>
  <w:style w:type="paragraph" w:styleId="ListParagraph">
    <w:name w:val="List Paragraph"/>
    <w:basedOn w:val="Normal"/>
    <w:link w:val="ListParagraphChar"/>
    <w:uiPriority w:val="1"/>
    <w:qFormat/>
    <w:rsid w:val="00B80C1E"/>
    <w:pPr>
      <w:ind w:left="720"/>
      <w:contextualSpacing/>
    </w:pPr>
  </w:style>
  <w:style w:type="paragraph" w:styleId="BalloonText">
    <w:name w:val="Balloon Text"/>
    <w:basedOn w:val="Normal"/>
    <w:link w:val="BalloonTextChar"/>
    <w:uiPriority w:val="99"/>
    <w:semiHidden/>
    <w:unhideWhenUsed/>
    <w:rsid w:val="008B7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4"/>
    <w:rPr>
      <w:rFonts w:ascii="Segoe UI" w:hAnsi="Segoe UI" w:cs="Segoe UI"/>
      <w:sz w:val="18"/>
      <w:szCs w:val="18"/>
    </w:rPr>
  </w:style>
  <w:style w:type="paragraph" w:styleId="NormalWeb">
    <w:name w:val="Normal (Web)"/>
    <w:basedOn w:val="Normal"/>
    <w:uiPriority w:val="99"/>
    <w:semiHidden/>
    <w:unhideWhenUsed/>
    <w:rsid w:val="002863D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A42CC"/>
    <w:rPr>
      <w:color w:val="954F72" w:themeColor="followedHyperlink"/>
      <w:u w:val="single"/>
    </w:rPr>
  </w:style>
  <w:style w:type="character" w:customStyle="1" w:styleId="Heading3Char">
    <w:name w:val="Heading 3 Char"/>
    <w:basedOn w:val="DefaultParagraphFont"/>
    <w:link w:val="Heading3"/>
    <w:uiPriority w:val="9"/>
    <w:semiHidden/>
    <w:rsid w:val="00A43A2F"/>
    <w:rPr>
      <w:rFonts w:asciiTheme="majorHAnsi" w:eastAsiaTheme="majorEastAsia" w:hAnsiTheme="majorHAnsi" w:cstheme="majorBidi"/>
      <w:color w:val="1F3763" w:themeColor="accent1" w:themeShade="7F"/>
      <w:sz w:val="24"/>
      <w:szCs w:val="24"/>
      <w:lang w:bidi="en-US"/>
    </w:rPr>
  </w:style>
  <w:style w:type="character" w:styleId="CommentReference">
    <w:name w:val="annotation reference"/>
    <w:basedOn w:val="DefaultParagraphFont"/>
    <w:unhideWhenUsed/>
    <w:rsid w:val="007C445A"/>
    <w:rPr>
      <w:sz w:val="16"/>
      <w:szCs w:val="16"/>
    </w:rPr>
  </w:style>
  <w:style w:type="paragraph" w:styleId="CommentText">
    <w:name w:val="annotation text"/>
    <w:basedOn w:val="Normal"/>
    <w:link w:val="CommentTextChar"/>
    <w:uiPriority w:val="99"/>
    <w:unhideWhenUsed/>
    <w:rsid w:val="007C445A"/>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7C445A"/>
    <w:rPr>
      <w:rFonts w:ascii="Times New Roman" w:eastAsia="Times New Roman" w:hAnsi="Times New Roman" w:cs="Times New Roman"/>
      <w:sz w:val="20"/>
      <w:szCs w:val="20"/>
      <w:lang w:bidi="en-US"/>
    </w:rPr>
  </w:style>
  <w:style w:type="character" w:customStyle="1" w:styleId="ListParagraphChar">
    <w:name w:val="List Paragraph Char"/>
    <w:basedOn w:val="DefaultParagraphFont"/>
    <w:link w:val="ListParagraph"/>
    <w:uiPriority w:val="1"/>
    <w:locked/>
    <w:rsid w:val="007C445A"/>
  </w:style>
  <w:style w:type="paragraph" w:styleId="Header">
    <w:name w:val="header"/>
    <w:basedOn w:val="Normal"/>
    <w:link w:val="HeaderChar"/>
    <w:uiPriority w:val="99"/>
    <w:unhideWhenUsed/>
    <w:rsid w:val="00534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0B6"/>
  </w:style>
  <w:style w:type="paragraph" w:styleId="Footer">
    <w:name w:val="footer"/>
    <w:basedOn w:val="Normal"/>
    <w:link w:val="FooterChar"/>
    <w:uiPriority w:val="99"/>
    <w:unhideWhenUsed/>
    <w:rsid w:val="00534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348789">
      <w:bodyDiv w:val="1"/>
      <w:marLeft w:val="0"/>
      <w:marRight w:val="0"/>
      <w:marTop w:val="0"/>
      <w:marBottom w:val="0"/>
      <w:divBdr>
        <w:top w:val="none" w:sz="0" w:space="0" w:color="auto"/>
        <w:left w:val="none" w:sz="0" w:space="0" w:color="auto"/>
        <w:bottom w:val="none" w:sz="0" w:space="0" w:color="auto"/>
        <w:right w:val="none" w:sz="0" w:space="0" w:color="auto"/>
      </w:divBdr>
    </w:div>
    <w:div w:id="1288243387">
      <w:bodyDiv w:val="1"/>
      <w:marLeft w:val="0"/>
      <w:marRight w:val="0"/>
      <w:marTop w:val="0"/>
      <w:marBottom w:val="0"/>
      <w:divBdr>
        <w:top w:val="none" w:sz="0" w:space="0" w:color="auto"/>
        <w:left w:val="none" w:sz="0" w:space="0" w:color="auto"/>
        <w:bottom w:val="none" w:sz="0" w:space="0" w:color="auto"/>
        <w:right w:val="none" w:sz="0" w:space="0" w:color="auto"/>
      </w:divBdr>
      <w:divsChild>
        <w:div w:id="782848635">
          <w:marLeft w:val="0"/>
          <w:marRight w:val="0"/>
          <w:marTop w:val="0"/>
          <w:marBottom w:val="450"/>
          <w:divBdr>
            <w:top w:val="none" w:sz="0" w:space="0" w:color="auto"/>
            <w:left w:val="none" w:sz="0" w:space="0" w:color="auto"/>
            <w:bottom w:val="none" w:sz="0" w:space="0" w:color="auto"/>
            <w:right w:val="none" w:sz="0" w:space="0" w:color="auto"/>
          </w:divBdr>
          <w:divsChild>
            <w:div w:id="1672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3409">
      <w:bodyDiv w:val="1"/>
      <w:marLeft w:val="0"/>
      <w:marRight w:val="0"/>
      <w:marTop w:val="0"/>
      <w:marBottom w:val="0"/>
      <w:divBdr>
        <w:top w:val="none" w:sz="0" w:space="0" w:color="auto"/>
        <w:left w:val="none" w:sz="0" w:space="0" w:color="auto"/>
        <w:bottom w:val="none" w:sz="0" w:space="0" w:color="auto"/>
        <w:right w:val="none" w:sz="0" w:space="0" w:color="auto"/>
      </w:divBdr>
    </w:div>
    <w:div w:id="20517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cp:lastModifiedBy>
  <cp:revision>5</cp:revision>
  <cp:lastPrinted>2020-05-14T18:37:00Z</cp:lastPrinted>
  <dcterms:created xsi:type="dcterms:W3CDTF">2020-05-13T21:03:00Z</dcterms:created>
  <dcterms:modified xsi:type="dcterms:W3CDTF">2020-05-14T23:13:00Z</dcterms:modified>
</cp:coreProperties>
</file>