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F87F2" w14:textId="1C42EA62" w:rsidR="004272E0" w:rsidRPr="00946E9D" w:rsidRDefault="001443E3" w:rsidP="00820B8F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Mat-Su Borough </w:t>
      </w:r>
      <w:r w:rsidR="001F2CF7">
        <w:rPr>
          <w:b/>
          <w:bCs/>
          <w:sz w:val="32"/>
          <w:szCs w:val="32"/>
        </w:rPr>
        <w:t>wants</w:t>
      </w:r>
      <w:r w:rsidR="00F4498A">
        <w:rPr>
          <w:b/>
          <w:bCs/>
          <w:sz w:val="32"/>
          <w:szCs w:val="32"/>
        </w:rPr>
        <w:t xml:space="preserve"> another review of</w:t>
      </w:r>
      <w:r w:rsidR="00E72FAC">
        <w:rPr>
          <w:b/>
          <w:bCs/>
          <w:sz w:val="32"/>
          <w:szCs w:val="32"/>
        </w:rPr>
        <w:t xml:space="preserve"> Port MacKenzie </w:t>
      </w:r>
      <w:r w:rsidR="00F4498A">
        <w:rPr>
          <w:b/>
          <w:bCs/>
          <w:sz w:val="32"/>
          <w:szCs w:val="32"/>
        </w:rPr>
        <w:t>site</w:t>
      </w:r>
    </w:p>
    <w:p w14:paraId="218D7A67" w14:textId="4B9D7A83" w:rsidR="00820B8F" w:rsidRPr="00820B8F" w:rsidRDefault="00820B8F" w:rsidP="00820B8F">
      <w:pPr>
        <w:spacing w:after="0" w:line="240" w:lineRule="auto"/>
        <w:rPr>
          <w:sz w:val="24"/>
          <w:szCs w:val="24"/>
        </w:rPr>
      </w:pPr>
    </w:p>
    <w:p w14:paraId="7371DD29" w14:textId="11DE9B44" w:rsidR="00820B8F" w:rsidRPr="00820B8F" w:rsidRDefault="00820B8F" w:rsidP="00820B8F">
      <w:pPr>
        <w:spacing w:after="0" w:line="240" w:lineRule="auto"/>
        <w:rPr>
          <w:sz w:val="24"/>
          <w:szCs w:val="24"/>
        </w:rPr>
      </w:pPr>
      <w:r w:rsidRPr="00820B8F">
        <w:rPr>
          <w:sz w:val="24"/>
          <w:szCs w:val="24"/>
        </w:rPr>
        <w:t xml:space="preserve">By Larry Persily </w:t>
      </w:r>
      <w:hyperlink r:id="rId7" w:history="1">
        <w:r w:rsidRPr="00820B8F">
          <w:rPr>
            <w:rStyle w:val="Hyperlink"/>
            <w:color w:val="auto"/>
            <w:sz w:val="24"/>
            <w:szCs w:val="24"/>
          </w:rPr>
          <w:t>paper@alaskan.com</w:t>
        </w:r>
      </w:hyperlink>
    </w:p>
    <w:p w14:paraId="6F791779" w14:textId="0623A3D2" w:rsidR="00820B8F" w:rsidRPr="00820B8F" w:rsidRDefault="00B22933" w:rsidP="00820B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Sept. </w:t>
      </w:r>
      <w:r w:rsidR="001443E3">
        <w:rPr>
          <w:sz w:val="24"/>
          <w:szCs w:val="24"/>
        </w:rPr>
        <w:t>30</w:t>
      </w:r>
      <w:r w:rsidR="00820B8F" w:rsidRPr="00820B8F">
        <w:rPr>
          <w:sz w:val="24"/>
          <w:szCs w:val="24"/>
        </w:rPr>
        <w:t>, 2019</w:t>
      </w:r>
    </w:p>
    <w:p w14:paraId="19508297" w14:textId="40AEA303" w:rsidR="00820B8F" w:rsidRPr="00820B8F" w:rsidRDefault="00820B8F" w:rsidP="00820B8F">
      <w:pPr>
        <w:spacing w:after="0" w:line="240" w:lineRule="auto"/>
        <w:rPr>
          <w:sz w:val="24"/>
          <w:szCs w:val="24"/>
        </w:rPr>
      </w:pPr>
    </w:p>
    <w:p w14:paraId="43A14A04" w14:textId="1ED6FDE2" w:rsidR="00F92A55" w:rsidRDefault="008F0C9A" w:rsidP="00F4498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Just six days before the close of public comment on the draft environmental impact statement for the Alaska LNG project, t</w:t>
      </w:r>
      <w:r w:rsidR="00076C4D">
        <w:rPr>
          <w:sz w:val="24"/>
          <w:szCs w:val="24"/>
        </w:rPr>
        <w:t xml:space="preserve">he </w:t>
      </w:r>
      <w:r>
        <w:rPr>
          <w:sz w:val="24"/>
          <w:szCs w:val="24"/>
        </w:rPr>
        <w:t xml:space="preserve">Matanuska-Susitna Borough has </w:t>
      </w:r>
      <w:r w:rsidR="007835C2">
        <w:rPr>
          <w:sz w:val="24"/>
          <w:szCs w:val="24"/>
        </w:rPr>
        <w:t xml:space="preserve">accused </w:t>
      </w:r>
      <w:r>
        <w:rPr>
          <w:sz w:val="24"/>
          <w:szCs w:val="24"/>
        </w:rPr>
        <w:t xml:space="preserve">federal regulators </w:t>
      </w:r>
      <w:r w:rsidR="007835C2">
        <w:rPr>
          <w:sz w:val="24"/>
          <w:szCs w:val="24"/>
        </w:rPr>
        <w:t xml:space="preserve">of </w:t>
      </w:r>
      <w:r w:rsidR="00DB5DB4">
        <w:rPr>
          <w:sz w:val="24"/>
          <w:szCs w:val="24"/>
        </w:rPr>
        <w:t xml:space="preserve">failing to prepare </w:t>
      </w:r>
      <w:r w:rsidR="007835C2">
        <w:rPr>
          <w:sz w:val="24"/>
          <w:szCs w:val="24"/>
        </w:rPr>
        <w:t xml:space="preserve">an </w:t>
      </w:r>
      <w:r w:rsidR="00DB5DB4">
        <w:rPr>
          <w:sz w:val="24"/>
          <w:szCs w:val="24"/>
        </w:rPr>
        <w:t xml:space="preserve">“adequate analysis” of </w:t>
      </w:r>
      <w:r w:rsidR="00F92A55">
        <w:rPr>
          <w:sz w:val="24"/>
          <w:szCs w:val="24"/>
        </w:rPr>
        <w:t xml:space="preserve">the municipality’s Port MacKenzie </w:t>
      </w:r>
      <w:r w:rsidR="00063CE2">
        <w:rPr>
          <w:sz w:val="24"/>
          <w:szCs w:val="24"/>
        </w:rPr>
        <w:t>as</w:t>
      </w:r>
      <w:r w:rsidR="00F92A55">
        <w:rPr>
          <w:sz w:val="24"/>
          <w:szCs w:val="24"/>
        </w:rPr>
        <w:t xml:space="preserve"> </w:t>
      </w:r>
      <w:r w:rsidR="00DB5DB4">
        <w:rPr>
          <w:sz w:val="24"/>
          <w:szCs w:val="24"/>
        </w:rPr>
        <w:t xml:space="preserve">a </w:t>
      </w:r>
      <w:r w:rsidR="00F4498A">
        <w:rPr>
          <w:sz w:val="24"/>
          <w:szCs w:val="24"/>
        </w:rPr>
        <w:t>potential</w:t>
      </w:r>
      <w:r w:rsidR="00F92A55">
        <w:rPr>
          <w:sz w:val="24"/>
          <w:szCs w:val="24"/>
        </w:rPr>
        <w:t xml:space="preserve"> </w:t>
      </w:r>
      <w:r w:rsidR="00063CE2">
        <w:rPr>
          <w:sz w:val="24"/>
          <w:szCs w:val="24"/>
        </w:rPr>
        <w:t xml:space="preserve">site </w:t>
      </w:r>
      <w:r w:rsidR="00DB5DB4">
        <w:rPr>
          <w:sz w:val="24"/>
          <w:szCs w:val="24"/>
        </w:rPr>
        <w:t>for</w:t>
      </w:r>
      <w:r w:rsidR="00063CE2">
        <w:rPr>
          <w:sz w:val="24"/>
          <w:szCs w:val="24"/>
        </w:rPr>
        <w:t xml:space="preserve"> the </w:t>
      </w:r>
      <w:r w:rsidR="002863D4">
        <w:rPr>
          <w:sz w:val="24"/>
          <w:szCs w:val="24"/>
        </w:rPr>
        <w:t xml:space="preserve">multibillion-dollar </w:t>
      </w:r>
      <w:r w:rsidR="00F92A55">
        <w:rPr>
          <w:sz w:val="24"/>
          <w:szCs w:val="24"/>
        </w:rPr>
        <w:t>gas liquefaction plant and marine terminal.</w:t>
      </w:r>
    </w:p>
    <w:p w14:paraId="5541691D" w14:textId="38D68FB5" w:rsidR="00953AFA" w:rsidRDefault="007835C2" w:rsidP="00F4498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 borough filed a motion with the Federal Energy Regulatory Commission on Sept. 27, calling on FERC to prepare a supplemental draft EIS “in order to cure the foundational defects in the current draft.”</w:t>
      </w:r>
    </w:p>
    <w:p w14:paraId="255ED04F" w14:textId="5A530953" w:rsidR="00F4498A" w:rsidRDefault="007769C5" w:rsidP="00F4498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public comment period on the </w:t>
      </w:r>
      <w:r w:rsidR="00497BA4">
        <w:rPr>
          <w:sz w:val="24"/>
          <w:szCs w:val="24"/>
        </w:rPr>
        <w:t xml:space="preserve">3,800-page </w:t>
      </w:r>
      <w:r>
        <w:rPr>
          <w:sz w:val="24"/>
          <w:szCs w:val="24"/>
        </w:rPr>
        <w:t xml:space="preserve">draft closes Oct. 3. </w:t>
      </w:r>
      <w:r w:rsidR="00767A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borough said in its Sept. 27 filing that it intended to submit additional comments before the deadline “to address technical deficiencies in the report,” but filed </w:t>
      </w:r>
      <w:r w:rsidR="002863D4">
        <w:rPr>
          <w:sz w:val="24"/>
          <w:szCs w:val="24"/>
        </w:rPr>
        <w:t>its</w:t>
      </w:r>
      <w:r>
        <w:rPr>
          <w:sz w:val="24"/>
          <w:szCs w:val="24"/>
        </w:rPr>
        <w:t xml:space="preserve"> separate motion for a supplemental draft EIS “in an effort to draw attention” to what it believes are “significant flaws” in the environmental review.</w:t>
      </w:r>
    </w:p>
    <w:p w14:paraId="3059343E" w14:textId="52326404" w:rsidR="007835C2" w:rsidRDefault="00953AFA" w:rsidP="00F4498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 alleged shortcomings in judging Port MacKenzie as an alternative to the project’s preferr</w:t>
      </w:r>
      <w:r w:rsidR="00767A84">
        <w:rPr>
          <w:sz w:val="24"/>
          <w:szCs w:val="24"/>
        </w:rPr>
        <w:t>ed LNG terminal site in Nikiski</w:t>
      </w:r>
      <w:r>
        <w:rPr>
          <w:sz w:val="24"/>
          <w:szCs w:val="24"/>
        </w:rPr>
        <w:t xml:space="preserve"> </w:t>
      </w:r>
      <w:r w:rsidR="00767A84">
        <w:rPr>
          <w:sz w:val="24"/>
          <w:szCs w:val="24"/>
        </w:rPr>
        <w:t>(</w:t>
      </w:r>
      <w:r w:rsidR="004D1A96">
        <w:rPr>
          <w:sz w:val="24"/>
          <w:szCs w:val="24"/>
        </w:rPr>
        <w:t xml:space="preserve">on the Kenai Peninsula </w:t>
      </w:r>
      <w:r>
        <w:rPr>
          <w:sz w:val="24"/>
          <w:szCs w:val="24"/>
        </w:rPr>
        <w:t>about 65 air miles to the southwest</w:t>
      </w:r>
      <w:r w:rsidR="00767A84">
        <w:rPr>
          <w:sz w:val="24"/>
          <w:szCs w:val="24"/>
        </w:rPr>
        <w:t>)</w:t>
      </w:r>
      <w:r>
        <w:rPr>
          <w:sz w:val="24"/>
          <w:szCs w:val="24"/>
        </w:rPr>
        <w:t xml:space="preserve"> “should be immediately addressed and corrected so that the draft EIS is able to withstand scrutiny upon review by the commission (FERC) or a federal court</w:t>
      </w:r>
      <w:r w:rsidR="001F2CF7">
        <w:rPr>
          <w:sz w:val="24"/>
          <w:szCs w:val="24"/>
        </w:rPr>
        <w:t>,</w:t>
      </w:r>
      <w:r>
        <w:rPr>
          <w:sz w:val="24"/>
          <w:szCs w:val="24"/>
        </w:rPr>
        <w:t>”</w:t>
      </w:r>
      <w:r w:rsidR="001F2CF7">
        <w:rPr>
          <w:sz w:val="24"/>
          <w:szCs w:val="24"/>
        </w:rPr>
        <w:t xml:space="preserve"> the borough said.</w:t>
      </w:r>
    </w:p>
    <w:p w14:paraId="7EF0773D" w14:textId="5F7CD0A3" w:rsidR="00953AFA" w:rsidRDefault="00953AFA" w:rsidP="00F4498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As an intervenor in the Alaska LNG docket at FERC, the Matanuska-Susitna Borough has the legal right to challenge the final EIS and commission decision in federal court, as do other intervenors: The Kenai Peninsula Borough, which </w:t>
      </w:r>
      <w:r w:rsidR="002863D4">
        <w:rPr>
          <w:sz w:val="24"/>
          <w:szCs w:val="24"/>
        </w:rPr>
        <w:t xml:space="preserve">is </w:t>
      </w:r>
      <w:r>
        <w:rPr>
          <w:sz w:val="24"/>
          <w:szCs w:val="24"/>
        </w:rPr>
        <w:t>defend</w:t>
      </w:r>
      <w:r w:rsidR="002863D4">
        <w:rPr>
          <w:sz w:val="24"/>
          <w:szCs w:val="24"/>
        </w:rPr>
        <w:t>ing</w:t>
      </w:r>
      <w:r>
        <w:rPr>
          <w:sz w:val="24"/>
          <w:szCs w:val="24"/>
        </w:rPr>
        <w:t xml:space="preserve"> Nikiski as the </w:t>
      </w:r>
      <w:r w:rsidR="001F2CF7">
        <w:rPr>
          <w:sz w:val="24"/>
          <w:szCs w:val="24"/>
        </w:rPr>
        <w:t>preferred</w:t>
      </w:r>
      <w:r>
        <w:rPr>
          <w:sz w:val="24"/>
          <w:szCs w:val="24"/>
        </w:rPr>
        <w:t xml:space="preserve"> site, and the city of Valdez, which is promoting its community for the project.</w:t>
      </w:r>
    </w:p>
    <w:p w14:paraId="344E02A9" w14:textId="4155E26B" w:rsidR="00454336" w:rsidRDefault="00454336" w:rsidP="00F4498A">
      <w:pPr>
        <w:spacing w:after="0" w:line="240" w:lineRule="auto"/>
        <w:ind w:firstLine="72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Though Valdez has not submitted detailed objections to the draft EIS, it has asked FERC to extend the comment period. </w:t>
      </w:r>
      <w:r w:rsidR="00767A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city issued a statement back in July: “It is apparent that the draft EIS fails to rigorously explore and objectively evaluate” Valdez as an alternative site to Nikiski.</w:t>
      </w:r>
      <w:r w:rsidR="00767A84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The draft “ignores the substantial advantages associated with the Valdez alternative,” and “unlawfully” includes spec</w:t>
      </w:r>
      <w:r w:rsidR="00767A84">
        <w:rPr>
          <w:rFonts w:cstheme="minorHAnsi"/>
          <w:sz w:val="24"/>
          <w:szCs w:val="24"/>
        </w:rPr>
        <w:t>ulative impacts, the city said.</w:t>
      </w:r>
    </w:p>
    <w:p w14:paraId="12A21454" w14:textId="59FFA324" w:rsidR="00D3116B" w:rsidRPr="00D3116B" w:rsidRDefault="002863D4" w:rsidP="00F4498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All three Alaska municipalities have hired lawyers to represent their interests before FERC. </w:t>
      </w:r>
      <w:r w:rsidR="00767A84">
        <w:rPr>
          <w:sz w:val="24"/>
          <w:szCs w:val="24"/>
        </w:rPr>
        <w:t xml:space="preserve"> </w:t>
      </w:r>
      <w:r w:rsidR="00063CE2">
        <w:rPr>
          <w:sz w:val="24"/>
          <w:szCs w:val="24"/>
        </w:rPr>
        <w:t xml:space="preserve">They are arguing over a state-led </w:t>
      </w:r>
      <w:r w:rsidR="001F2CF7">
        <w:rPr>
          <w:sz w:val="24"/>
          <w:szCs w:val="24"/>
        </w:rPr>
        <w:t>venture</w:t>
      </w:r>
      <w:r w:rsidR="00063CE2">
        <w:rPr>
          <w:sz w:val="24"/>
          <w:szCs w:val="24"/>
        </w:rPr>
        <w:t xml:space="preserve"> that has no firm customers for the gas</w:t>
      </w:r>
      <w:r w:rsidR="00565E07">
        <w:rPr>
          <w:sz w:val="24"/>
          <w:szCs w:val="24"/>
        </w:rPr>
        <w:t xml:space="preserve"> in a highly competitive global market</w:t>
      </w:r>
      <w:r w:rsidR="00063CE2">
        <w:rPr>
          <w:sz w:val="24"/>
          <w:szCs w:val="24"/>
        </w:rPr>
        <w:t>, no partners, no investors</w:t>
      </w:r>
      <w:r w:rsidR="00767A84">
        <w:rPr>
          <w:sz w:val="24"/>
          <w:szCs w:val="24"/>
        </w:rPr>
        <w:t>, and n</w:t>
      </w:r>
      <w:r w:rsidR="00063CE2">
        <w:rPr>
          <w:sz w:val="24"/>
          <w:szCs w:val="24"/>
        </w:rPr>
        <w:t>o financing</w:t>
      </w:r>
      <w:r w:rsidR="0016561A">
        <w:rPr>
          <w:sz w:val="24"/>
          <w:szCs w:val="24"/>
        </w:rPr>
        <w:t xml:space="preserve"> for the proposed $43 billion project to move North Slope gas through a pipeline the length of the state to a liquefaction plant and marine terminal for export</w:t>
      </w:r>
      <w:r w:rsidR="00063CE2">
        <w:rPr>
          <w:sz w:val="24"/>
          <w:szCs w:val="24"/>
        </w:rPr>
        <w:t>.</w:t>
      </w:r>
    </w:p>
    <w:p w14:paraId="2C5CEB44" w14:textId="218AFDC9" w:rsidR="00D3116B" w:rsidRDefault="00D3116B" w:rsidP="00F4498A">
      <w:pPr>
        <w:spacing w:after="0" w:line="240" w:lineRule="auto"/>
        <w:ind w:firstLine="72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A73D03">
        <w:rPr>
          <w:rFonts w:cstheme="minorHAnsi"/>
          <w:color w:val="222222"/>
          <w:sz w:val="24"/>
          <w:szCs w:val="24"/>
          <w:shd w:val="clear" w:color="auto" w:fill="FFFFFF"/>
        </w:rPr>
        <w:t xml:space="preserve">The state agency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in charge of the venture, the Alaska Gasline Development Corp. (AGDC)</w:t>
      </w:r>
      <w:r w:rsidR="001F2CF7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cut more than half its staff this summer as it halted its commercial and financ</w:t>
      </w:r>
      <w:r w:rsidR="004D1A96">
        <w:rPr>
          <w:rFonts w:cstheme="minorHAnsi"/>
          <w:color w:val="222222"/>
          <w:sz w:val="24"/>
          <w:szCs w:val="24"/>
          <w:shd w:val="clear" w:color="auto" w:fill="FFFFFF"/>
        </w:rPr>
        <w:t>e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efforts to focus on completing the EIS.</w:t>
      </w:r>
    </w:p>
    <w:p w14:paraId="0FD2D896" w14:textId="3F13B2BF" w:rsidR="00497BA4" w:rsidRDefault="00497BA4" w:rsidP="00F4498A">
      <w:pPr>
        <w:spacing w:after="0" w:line="240" w:lineRule="auto"/>
        <w:ind w:firstLine="720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Trustees for Alaska, </w:t>
      </w:r>
      <w:bookmarkEnd w:id="0"/>
      <w:r>
        <w:rPr>
          <w:sz w:val="24"/>
          <w:szCs w:val="24"/>
        </w:rPr>
        <w:t>an Anchorage-based environmental law group reviewing the EIS for several clients, also has asked FERC to extend the comment deadline by at least 30 days,</w:t>
      </w:r>
      <w:r w:rsidR="004D1A96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same as Valdez, depending on when the state project team submits additional information requested by federal regulators.</w:t>
      </w:r>
    </w:p>
    <w:p w14:paraId="2ACB3635" w14:textId="2A9E81E2" w:rsidR="00D1338B" w:rsidRDefault="00D1338B" w:rsidP="00F4498A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</w:t>
      </w:r>
      <w:r w:rsidR="002863D4">
        <w:rPr>
          <w:sz w:val="24"/>
          <w:szCs w:val="24"/>
        </w:rPr>
        <w:t>Matanuska-Susitna B</w:t>
      </w:r>
      <w:r>
        <w:rPr>
          <w:sz w:val="24"/>
          <w:szCs w:val="24"/>
        </w:rPr>
        <w:t xml:space="preserve">orough has long promoted </w:t>
      </w:r>
      <w:r w:rsidR="00953AFA">
        <w:rPr>
          <w:sz w:val="24"/>
          <w:szCs w:val="24"/>
        </w:rPr>
        <w:t xml:space="preserve">the essentially dormant </w:t>
      </w:r>
      <w:r>
        <w:rPr>
          <w:sz w:val="24"/>
          <w:szCs w:val="24"/>
        </w:rPr>
        <w:t>Port MacKenzie</w:t>
      </w:r>
      <w:r w:rsidR="00953AFA">
        <w:rPr>
          <w:sz w:val="24"/>
          <w:szCs w:val="24"/>
        </w:rPr>
        <w:t xml:space="preserve"> property</w:t>
      </w:r>
      <w:r>
        <w:rPr>
          <w:sz w:val="24"/>
          <w:szCs w:val="24"/>
        </w:rPr>
        <w:t>, about 4 miles across Knik Arm from downtown Anchorage, as a potential site for the proposed Alaska LNG terminal</w:t>
      </w:r>
      <w:r w:rsidR="004D1A96">
        <w:rPr>
          <w:sz w:val="24"/>
          <w:szCs w:val="24"/>
        </w:rPr>
        <w:t>.</w:t>
      </w:r>
      <w:r w:rsidR="00767A84">
        <w:rPr>
          <w:sz w:val="24"/>
          <w:szCs w:val="24"/>
        </w:rPr>
        <w:t xml:space="preserve"> </w:t>
      </w:r>
      <w:r w:rsidR="004D1A96">
        <w:rPr>
          <w:sz w:val="24"/>
          <w:szCs w:val="24"/>
        </w:rPr>
        <w:t xml:space="preserve"> Other unsuccessful efforts over the years have included </w:t>
      </w:r>
      <w:r w:rsidR="0016561A">
        <w:rPr>
          <w:sz w:val="24"/>
          <w:szCs w:val="24"/>
        </w:rPr>
        <w:t xml:space="preserve">a much smaller LNG project </w:t>
      </w:r>
      <w:r w:rsidR="004D1A96">
        <w:rPr>
          <w:sz w:val="24"/>
          <w:szCs w:val="24"/>
        </w:rPr>
        <w:t>proposed</w:t>
      </w:r>
      <w:r w:rsidR="0016561A">
        <w:rPr>
          <w:sz w:val="24"/>
          <w:szCs w:val="24"/>
        </w:rPr>
        <w:t xml:space="preserve"> by private interests</w:t>
      </w:r>
      <w:r w:rsidR="004D1A96">
        <w:rPr>
          <w:sz w:val="24"/>
          <w:szCs w:val="24"/>
        </w:rPr>
        <w:t xml:space="preserve"> that folded in </w:t>
      </w:r>
      <w:r w:rsidR="0016561A">
        <w:rPr>
          <w:sz w:val="24"/>
          <w:szCs w:val="24"/>
        </w:rPr>
        <w:t>2017</w:t>
      </w:r>
      <w:r>
        <w:rPr>
          <w:sz w:val="24"/>
          <w:szCs w:val="24"/>
        </w:rPr>
        <w:t>.</w:t>
      </w:r>
    </w:p>
    <w:p w14:paraId="578E8F87" w14:textId="1DE996BE" w:rsidR="002863D4" w:rsidRPr="002863D4" w:rsidRDefault="002863D4" w:rsidP="00F4498A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063CE2">
        <w:rPr>
          <w:rFonts w:cstheme="minorHAnsi"/>
          <w:sz w:val="24"/>
          <w:szCs w:val="24"/>
        </w:rPr>
        <w:t>municipality</w:t>
      </w:r>
      <w:r>
        <w:rPr>
          <w:rFonts w:cstheme="minorHAnsi"/>
          <w:sz w:val="24"/>
          <w:szCs w:val="24"/>
        </w:rPr>
        <w:t xml:space="preserve"> filed its </w:t>
      </w:r>
      <w:r w:rsidR="001F2CF7">
        <w:rPr>
          <w:rFonts w:cstheme="minorHAnsi"/>
          <w:sz w:val="24"/>
          <w:szCs w:val="24"/>
        </w:rPr>
        <w:t>motion</w:t>
      </w:r>
      <w:r>
        <w:rPr>
          <w:rFonts w:cstheme="minorHAnsi"/>
          <w:sz w:val="24"/>
          <w:szCs w:val="24"/>
        </w:rPr>
        <w:t xml:space="preserve"> with FERC about 12 weeks after Mat-Su Borough Manager John </w:t>
      </w:r>
      <w:proofErr w:type="spellStart"/>
      <w:r>
        <w:rPr>
          <w:rFonts w:cstheme="minorHAnsi"/>
          <w:sz w:val="24"/>
          <w:szCs w:val="24"/>
        </w:rPr>
        <w:t>Moosey</w:t>
      </w:r>
      <w:proofErr w:type="spellEnd"/>
      <w:r>
        <w:rPr>
          <w:rFonts w:cstheme="minorHAnsi"/>
          <w:sz w:val="24"/>
          <w:szCs w:val="24"/>
        </w:rPr>
        <w:t xml:space="preserve"> told the Alaska Journal of Commerce that while </w:t>
      </w:r>
      <w:r w:rsidR="001F2CF7">
        <w:rPr>
          <w:rFonts w:cstheme="minorHAnsi"/>
          <w:sz w:val="24"/>
          <w:szCs w:val="24"/>
        </w:rPr>
        <w:t xml:space="preserve">his </w:t>
      </w:r>
      <w:r>
        <w:rPr>
          <w:rFonts w:cstheme="minorHAnsi"/>
          <w:sz w:val="24"/>
          <w:szCs w:val="24"/>
        </w:rPr>
        <w:t>staff w</w:t>
      </w:r>
      <w:r w:rsidR="001F2CF7">
        <w:rPr>
          <w:rFonts w:cstheme="minorHAnsi"/>
          <w:sz w:val="24"/>
          <w:szCs w:val="24"/>
        </w:rPr>
        <w:t>as</w:t>
      </w:r>
      <w:r>
        <w:rPr>
          <w:rFonts w:cstheme="minorHAnsi"/>
          <w:sz w:val="24"/>
          <w:szCs w:val="24"/>
        </w:rPr>
        <w:t xml:space="preserve"> still reading through the draft EIS, he thought </w:t>
      </w:r>
      <w:r w:rsidRPr="002863D4">
        <w:rPr>
          <w:rFonts w:cstheme="minorHAnsi"/>
          <w:sz w:val="24"/>
          <w:szCs w:val="24"/>
        </w:rPr>
        <w:t>it show</w:t>
      </w:r>
      <w:r>
        <w:rPr>
          <w:rFonts w:cstheme="minorHAnsi"/>
          <w:sz w:val="24"/>
          <w:szCs w:val="24"/>
        </w:rPr>
        <w:t>ed</w:t>
      </w:r>
      <w:r w:rsidRPr="002863D4">
        <w:rPr>
          <w:rFonts w:cstheme="minorHAnsi"/>
          <w:sz w:val="24"/>
          <w:szCs w:val="24"/>
        </w:rPr>
        <w:t xml:space="preserve"> the Port MacKenzie site “in a fair and more accurate light, and that’s really what we wanted.”</w:t>
      </w:r>
      <w:r w:rsidR="00063CE2">
        <w:rPr>
          <w:rFonts w:cstheme="minorHAnsi"/>
          <w:sz w:val="24"/>
          <w:szCs w:val="24"/>
        </w:rPr>
        <w:t xml:space="preserve"> </w:t>
      </w:r>
      <w:r w:rsidR="00767A84">
        <w:rPr>
          <w:rFonts w:cstheme="minorHAnsi"/>
          <w:sz w:val="24"/>
          <w:szCs w:val="24"/>
        </w:rPr>
        <w:t xml:space="preserve"> </w:t>
      </w:r>
      <w:r w:rsidR="00063CE2">
        <w:rPr>
          <w:rFonts w:cstheme="minorHAnsi"/>
          <w:sz w:val="24"/>
          <w:szCs w:val="24"/>
        </w:rPr>
        <w:t>The borough has complained the past several years that the port was not fairly judged as a potential project site.</w:t>
      </w:r>
    </w:p>
    <w:p w14:paraId="7D466C3B" w14:textId="45E3F12C" w:rsidR="005608AF" w:rsidRDefault="005608AF" w:rsidP="00F4498A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Nikiski was selected as the preferred site in 2013, when the project was led by North Slope oil and gas producers ExxonMobil, BP</w:t>
      </w:r>
      <w:r w:rsidR="00767A8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 ConocoPhillips. </w:t>
      </w:r>
      <w:r w:rsidR="00767A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state stuck with Nikiski when it took over full control of the project in late 2016 after the companies declined to spend </w:t>
      </w:r>
      <w:r w:rsidR="004D1A96">
        <w:rPr>
          <w:rFonts w:cstheme="minorHAnsi"/>
          <w:sz w:val="24"/>
          <w:szCs w:val="24"/>
        </w:rPr>
        <w:t xml:space="preserve">a lot </w:t>
      </w:r>
      <w:r>
        <w:rPr>
          <w:rFonts w:cstheme="minorHAnsi"/>
          <w:sz w:val="24"/>
          <w:szCs w:val="24"/>
        </w:rPr>
        <w:t>more money on the effort.</w:t>
      </w:r>
    </w:p>
    <w:p w14:paraId="0E6FDD7E" w14:textId="7EBD24DC" w:rsidR="002863D4" w:rsidRPr="002863D4" w:rsidRDefault="002863D4" w:rsidP="00F4498A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2863D4">
        <w:rPr>
          <w:rFonts w:cstheme="minorHAnsi"/>
          <w:sz w:val="24"/>
          <w:szCs w:val="24"/>
        </w:rPr>
        <w:t xml:space="preserve">“If the </w:t>
      </w:r>
      <w:r w:rsidR="005608AF">
        <w:rPr>
          <w:rFonts w:cstheme="minorHAnsi"/>
          <w:sz w:val="24"/>
          <w:szCs w:val="24"/>
        </w:rPr>
        <w:t>s</w:t>
      </w:r>
      <w:r w:rsidRPr="002863D4">
        <w:rPr>
          <w:rFonts w:cstheme="minorHAnsi"/>
          <w:sz w:val="24"/>
          <w:szCs w:val="24"/>
        </w:rPr>
        <w:t>tate of Alaska believes Nikiski is the best place and the project can happen</w:t>
      </w:r>
      <w:r w:rsidR="005608AF">
        <w:rPr>
          <w:rFonts w:cstheme="minorHAnsi"/>
          <w:sz w:val="24"/>
          <w:szCs w:val="24"/>
        </w:rPr>
        <w:t>,</w:t>
      </w:r>
      <w:r w:rsidRPr="002863D4">
        <w:rPr>
          <w:rFonts w:cstheme="minorHAnsi"/>
          <w:sz w:val="24"/>
          <w:szCs w:val="24"/>
        </w:rPr>
        <w:t xml:space="preserve"> we’re all in favor of that,” </w:t>
      </w:r>
      <w:proofErr w:type="spellStart"/>
      <w:r w:rsidRPr="002863D4">
        <w:rPr>
          <w:rFonts w:cstheme="minorHAnsi"/>
          <w:sz w:val="24"/>
          <w:szCs w:val="24"/>
        </w:rPr>
        <w:t>Moosey</w:t>
      </w:r>
      <w:proofErr w:type="spellEnd"/>
      <w:r w:rsidRPr="002863D4">
        <w:rPr>
          <w:rFonts w:cstheme="minorHAnsi"/>
          <w:sz w:val="24"/>
          <w:szCs w:val="24"/>
        </w:rPr>
        <w:t xml:space="preserve"> </w:t>
      </w:r>
      <w:r w:rsidR="005608AF">
        <w:rPr>
          <w:rFonts w:cstheme="minorHAnsi"/>
          <w:sz w:val="24"/>
          <w:szCs w:val="24"/>
        </w:rPr>
        <w:t>was quoted in the Journal of Commerce on July 10</w:t>
      </w:r>
      <w:r w:rsidRPr="002863D4">
        <w:rPr>
          <w:rFonts w:cstheme="minorHAnsi"/>
          <w:sz w:val="24"/>
          <w:szCs w:val="24"/>
        </w:rPr>
        <w:t>.</w:t>
      </w:r>
    </w:p>
    <w:p w14:paraId="46DD045D" w14:textId="54A80F4F" w:rsidR="00E625F2" w:rsidRDefault="00E625F2" w:rsidP="00F4498A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producers, when they were leading the project, and the state-created Alaska Gasline Development Corp., after it took over management, asserted that multiple factors made Nikiski a better site than Port MacKenzie. </w:t>
      </w:r>
      <w:r w:rsidR="00767A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project teams said winter sea ice, dredging </w:t>
      </w:r>
      <w:r w:rsidR="004D1A96">
        <w:rPr>
          <w:rFonts w:cstheme="minorHAnsi"/>
          <w:sz w:val="24"/>
          <w:szCs w:val="24"/>
        </w:rPr>
        <w:t>of</w:t>
      </w:r>
      <w:r>
        <w:rPr>
          <w:rFonts w:cstheme="minorHAnsi"/>
          <w:sz w:val="24"/>
          <w:szCs w:val="24"/>
        </w:rPr>
        <w:t xml:space="preserve"> shipping channels, strong currents </w:t>
      </w:r>
      <w:r w:rsidR="00063CE2">
        <w:rPr>
          <w:rFonts w:cstheme="minorHAnsi"/>
          <w:sz w:val="24"/>
          <w:szCs w:val="24"/>
        </w:rPr>
        <w:t xml:space="preserve">and tidal ranges, </w:t>
      </w:r>
      <w:r>
        <w:rPr>
          <w:rFonts w:cstheme="minorHAnsi"/>
          <w:sz w:val="24"/>
          <w:szCs w:val="24"/>
        </w:rPr>
        <w:t>and conflicts with critical habitat for the endangered Cook Inlet beluga whales all counted against Port MacKenzie.</w:t>
      </w:r>
    </w:p>
    <w:p w14:paraId="12004F50" w14:textId="57CD677D" w:rsidR="001829B3" w:rsidRDefault="00E625F2" w:rsidP="00F4498A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</w:t>
      </w:r>
      <w:r w:rsidR="0016561A">
        <w:rPr>
          <w:rFonts w:cstheme="minorHAnsi"/>
          <w:sz w:val="24"/>
          <w:szCs w:val="24"/>
        </w:rPr>
        <w:t>past</w:t>
      </w:r>
      <w:r>
        <w:rPr>
          <w:rFonts w:cstheme="minorHAnsi"/>
          <w:sz w:val="24"/>
          <w:szCs w:val="24"/>
        </w:rPr>
        <w:t xml:space="preserve"> filing</w:t>
      </w:r>
      <w:r w:rsidR="0016561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, the borough </w:t>
      </w:r>
      <w:r w:rsidR="0016561A">
        <w:rPr>
          <w:rFonts w:cstheme="minorHAnsi"/>
          <w:sz w:val="24"/>
          <w:szCs w:val="24"/>
        </w:rPr>
        <w:t xml:space="preserve">has </w:t>
      </w:r>
      <w:r w:rsidR="004D1A96">
        <w:rPr>
          <w:rFonts w:cstheme="minorHAnsi"/>
          <w:sz w:val="24"/>
          <w:szCs w:val="24"/>
        </w:rPr>
        <w:t>rebutted</w:t>
      </w:r>
      <w:r w:rsidR="0016561A">
        <w:rPr>
          <w:rFonts w:cstheme="minorHAnsi"/>
          <w:sz w:val="24"/>
          <w:szCs w:val="24"/>
        </w:rPr>
        <w:t xml:space="preserve"> many of the objections.</w:t>
      </w:r>
      <w:r w:rsidR="00767A84">
        <w:rPr>
          <w:rFonts w:cstheme="minorHAnsi"/>
          <w:sz w:val="24"/>
          <w:szCs w:val="24"/>
        </w:rPr>
        <w:t xml:space="preserve"> </w:t>
      </w:r>
      <w:r w:rsidR="0016561A">
        <w:rPr>
          <w:rFonts w:cstheme="minorHAnsi"/>
          <w:sz w:val="24"/>
          <w:szCs w:val="24"/>
        </w:rPr>
        <w:t xml:space="preserve"> In its latest filing, the borough said FERC dismissed Port MacKenzie from “full consideration as a reasonable alternative site” based on factual inaccuracies. </w:t>
      </w:r>
      <w:r w:rsidR="00767A8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“Even though the draft EIS lacks adequate analysis,</w:t>
      </w:r>
      <w:r w:rsidR="001F2CF7">
        <w:rPr>
          <w:rFonts w:cstheme="minorHAnsi"/>
          <w:sz w:val="24"/>
          <w:szCs w:val="24"/>
        </w:rPr>
        <w:t>” the borough said, “</w:t>
      </w:r>
      <w:r>
        <w:rPr>
          <w:rFonts w:cstheme="minorHAnsi"/>
          <w:sz w:val="24"/>
          <w:szCs w:val="24"/>
        </w:rPr>
        <w:t>the current draft appears to show that Port MacKenzie is in fact” the least environmentally damaging practicable alternative.</w:t>
      </w:r>
    </w:p>
    <w:p w14:paraId="7E44552E" w14:textId="1A5151D7" w:rsidR="0016561A" w:rsidRDefault="0016561A" w:rsidP="00F4498A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example, the borough </w:t>
      </w:r>
      <w:r w:rsidR="00497BA4">
        <w:rPr>
          <w:rFonts w:cstheme="minorHAnsi"/>
          <w:sz w:val="24"/>
          <w:szCs w:val="24"/>
        </w:rPr>
        <w:t>said</w:t>
      </w:r>
      <w:r>
        <w:rPr>
          <w:rFonts w:cstheme="minorHAnsi"/>
          <w:sz w:val="24"/>
          <w:szCs w:val="24"/>
        </w:rPr>
        <w:t xml:space="preserve"> laying the gas pipeline to Port MacKenzie instead of </w:t>
      </w:r>
      <w:r w:rsidR="00497BA4">
        <w:rPr>
          <w:rFonts w:cstheme="minorHAnsi"/>
          <w:sz w:val="24"/>
          <w:szCs w:val="24"/>
        </w:rPr>
        <w:t xml:space="preserve">to Nikiski would reduce the affected wetlands by 27 acres out of about 1,600 acres. </w:t>
      </w:r>
      <w:r w:rsidR="00767A84">
        <w:rPr>
          <w:rFonts w:cstheme="minorHAnsi"/>
          <w:sz w:val="24"/>
          <w:szCs w:val="24"/>
        </w:rPr>
        <w:t xml:space="preserve"> </w:t>
      </w:r>
      <w:r w:rsidR="00497BA4">
        <w:rPr>
          <w:rFonts w:cstheme="minorHAnsi"/>
          <w:sz w:val="24"/>
          <w:szCs w:val="24"/>
        </w:rPr>
        <w:t>Stopping the line at Port MacKenzie would avoid displacing about two dozen residences and businesses n</w:t>
      </w:r>
      <w:r w:rsidR="00767A84">
        <w:rPr>
          <w:rFonts w:cstheme="minorHAnsi"/>
          <w:sz w:val="24"/>
          <w:szCs w:val="24"/>
        </w:rPr>
        <w:t>ear Nikiski, the borough added.</w:t>
      </w:r>
    </w:p>
    <w:p w14:paraId="39DE5EDA" w14:textId="3CBD5CB4" w:rsidR="00497BA4" w:rsidRDefault="0016561A" w:rsidP="00F4498A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“The draft EIS should be supplemented with a full</w:t>
      </w:r>
      <w:r w:rsidR="004D1A96">
        <w:rPr>
          <w:rFonts w:cstheme="minorHAnsi"/>
          <w:sz w:val="24"/>
          <w:szCs w:val="24"/>
        </w:rPr>
        <w:t xml:space="preserve"> ‘</w:t>
      </w:r>
      <w:r>
        <w:rPr>
          <w:rFonts w:cstheme="minorHAnsi"/>
          <w:sz w:val="24"/>
          <w:szCs w:val="24"/>
        </w:rPr>
        <w:t xml:space="preserve">hard look’ analysis of the Port </w:t>
      </w:r>
      <w:proofErr w:type="spellStart"/>
      <w:r>
        <w:rPr>
          <w:rFonts w:cstheme="minorHAnsi"/>
          <w:sz w:val="24"/>
          <w:szCs w:val="24"/>
        </w:rPr>
        <w:t>MacKenzie</w:t>
      </w:r>
      <w:proofErr w:type="spellEnd"/>
      <w:r>
        <w:rPr>
          <w:rFonts w:cstheme="minorHAnsi"/>
          <w:sz w:val="24"/>
          <w:szCs w:val="24"/>
        </w:rPr>
        <w:t xml:space="preserve"> alternative,” the Mat-Su said in its motion to FERC.</w:t>
      </w:r>
      <w:r w:rsidR="00767A84">
        <w:rPr>
          <w:rFonts w:cstheme="minorHAnsi"/>
          <w:sz w:val="24"/>
          <w:szCs w:val="24"/>
        </w:rPr>
        <w:t xml:space="preserve"> </w:t>
      </w:r>
      <w:r w:rsidR="00497BA4" w:rsidRPr="00497BA4">
        <w:rPr>
          <w:rFonts w:cstheme="minorHAnsi"/>
          <w:sz w:val="24"/>
          <w:szCs w:val="24"/>
        </w:rPr>
        <w:t xml:space="preserve"> </w:t>
      </w:r>
      <w:r w:rsidR="00497BA4">
        <w:rPr>
          <w:rFonts w:cstheme="minorHAnsi"/>
          <w:sz w:val="24"/>
          <w:szCs w:val="24"/>
        </w:rPr>
        <w:t xml:space="preserve">It also alleged the draft includes “muddled statements” about which project site </w:t>
      </w:r>
      <w:r w:rsidR="001F2CF7">
        <w:rPr>
          <w:rFonts w:cstheme="minorHAnsi"/>
          <w:sz w:val="24"/>
          <w:szCs w:val="24"/>
        </w:rPr>
        <w:t>would cause</w:t>
      </w:r>
      <w:r w:rsidR="00497BA4">
        <w:rPr>
          <w:rFonts w:cstheme="minorHAnsi"/>
          <w:sz w:val="24"/>
          <w:szCs w:val="24"/>
        </w:rPr>
        <w:t xml:space="preserve"> the leas</w:t>
      </w:r>
      <w:r w:rsidR="001F2CF7">
        <w:rPr>
          <w:rFonts w:cstheme="minorHAnsi"/>
          <w:sz w:val="24"/>
          <w:szCs w:val="24"/>
        </w:rPr>
        <w:t>t</w:t>
      </w:r>
      <w:r w:rsidR="00497BA4">
        <w:rPr>
          <w:rFonts w:cstheme="minorHAnsi"/>
          <w:sz w:val="24"/>
          <w:szCs w:val="24"/>
        </w:rPr>
        <w:t xml:space="preserve"> environmental damage.</w:t>
      </w:r>
    </w:p>
    <w:p w14:paraId="49A6BC8E" w14:textId="479A36B0" w:rsidR="00E625F2" w:rsidRDefault="00E625F2" w:rsidP="00F4498A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the FERC-led environmental review fails to provide “sufficient factual information to make this determination,” the borough said, the U.S. Army Corps of Engineers, with regulatory authority over wetlands, dredging</w:t>
      </w:r>
      <w:r w:rsidR="00767A8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 fill, “will be required to supplement the draft EIS at a later date.”</w:t>
      </w:r>
    </w:p>
    <w:p w14:paraId="42C56A53" w14:textId="3A67DF29" w:rsidR="00E625F2" w:rsidRDefault="00E625F2" w:rsidP="00F4498A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failure by FERC to do its job “likely is delaying the inevitable,” the borough said</w:t>
      </w:r>
      <w:r w:rsidR="00497BA4">
        <w:rPr>
          <w:rFonts w:cstheme="minorHAnsi"/>
          <w:sz w:val="24"/>
          <w:szCs w:val="24"/>
        </w:rPr>
        <w:t>.</w:t>
      </w:r>
    </w:p>
    <w:p w14:paraId="643EB656" w14:textId="77777777" w:rsidR="00D3116B" w:rsidRDefault="00D3116B" w:rsidP="00F4498A">
      <w:pPr>
        <w:spacing w:after="0" w:line="240" w:lineRule="auto"/>
        <w:ind w:firstLine="720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Unless FERC changes its schedule, it plans to issue the final EIS in March 2020, with a commission vote on the project application in June 2020.</w:t>
      </w:r>
    </w:p>
    <w:p w14:paraId="52D2E9A8" w14:textId="3656F8C4" w:rsidR="00497BA4" w:rsidRDefault="00497BA4" w:rsidP="00F4498A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While the Alaska municipalities battle over the project site, AGDC continues working to answer detailed engineering, construction and operations questions from federal regulators. </w:t>
      </w:r>
      <w:r w:rsidR="00B969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AGDC submitted 295 pages of information, tables</w:t>
      </w:r>
      <w:r w:rsidR="00767A8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 maps to FERC on Sept. 25.</w:t>
      </w:r>
    </w:p>
    <w:p w14:paraId="18BAC478" w14:textId="77777777" w:rsidR="006405C5" w:rsidRDefault="006405C5" w:rsidP="00F4498A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14:paraId="500FDF8C" w14:textId="77777777" w:rsidR="006405C5" w:rsidRDefault="006405C5" w:rsidP="00F4498A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p w14:paraId="51D1C201" w14:textId="38AFA0E9" w:rsidR="00F4498A" w:rsidRDefault="00D3116B" w:rsidP="00F4498A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The packet included:</w:t>
      </w:r>
    </w:p>
    <w:p w14:paraId="18242B5E" w14:textId="273BD8A4" w:rsidR="00D3116B" w:rsidRDefault="00D3116B" w:rsidP="00F4498A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F4498A">
        <w:rPr>
          <w:rFonts w:cstheme="minorHAnsi"/>
          <w:sz w:val="24"/>
          <w:szCs w:val="24"/>
        </w:rPr>
        <w:t>A comprehensive table of waterbodies that would be crossed by the main pipeline, the 62-mile line from the Point Thomson gas field to Prudhoe Bay, compressor stations, work camps, access roads</w:t>
      </w:r>
      <w:r w:rsidR="00767A84">
        <w:rPr>
          <w:rFonts w:cstheme="minorHAnsi"/>
          <w:sz w:val="24"/>
          <w:szCs w:val="24"/>
        </w:rPr>
        <w:t>,</w:t>
      </w:r>
      <w:r w:rsidRPr="00F4498A">
        <w:rPr>
          <w:rFonts w:cstheme="minorHAnsi"/>
          <w:sz w:val="24"/>
          <w:szCs w:val="24"/>
        </w:rPr>
        <w:t xml:space="preserve"> and </w:t>
      </w:r>
      <w:r w:rsidR="004D1A96">
        <w:rPr>
          <w:rFonts w:cstheme="minorHAnsi"/>
          <w:sz w:val="24"/>
          <w:szCs w:val="24"/>
        </w:rPr>
        <w:t>other</w:t>
      </w:r>
      <w:r w:rsidRPr="00F4498A">
        <w:rPr>
          <w:rFonts w:cstheme="minorHAnsi"/>
          <w:sz w:val="24"/>
          <w:szCs w:val="24"/>
        </w:rPr>
        <w:t xml:space="preserve"> project construction activities. </w:t>
      </w:r>
      <w:r w:rsidR="00767A84">
        <w:rPr>
          <w:rFonts w:cstheme="minorHAnsi"/>
          <w:sz w:val="24"/>
          <w:szCs w:val="24"/>
        </w:rPr>
        <w:t xml:space="preserve"> </w:t>
      </w:r>
      <w:r w:rsidR="004D1A96">
        <w:rPr>
          <w:rFonts w:cstheme="minorHAnsi"/>
          <w:sz w:val="24"/>
          <w:szCs w:val="24"/>
        </w:rPr>
        <w:t>In addition to other details, t</w:t>
      </w:r>
      <w:r w:rsidRPr="00F4498A">
        <w:rPr>
          <w:rFonts w:cstheme="minorHAnsi"/>
          <w:sz w:val="24"/>
          <w:szCs w:val="24"/>
        </w:rPr>
        <w:t xml:space="preserve">he table lists the width of </w:t>
      </w:r>
      <w:r w:rsidR="001F2CF7">
        <w:rPr>
          <w:rFonts w:cstheme="minorHAnsi"/>
          <w:sz w:val="24"/>
          <w:szCs w:val="24"/>
        </w:rPr>
        <w:t>each</w:t>
      </w:r>
      <w:r w:rsidRPr="00F4498A">
        <w:rPr>
          <w:rFonts w:cstheme="minorHAnsi"/>
          <w:sz w:val="24"/>
          <w:szCs w:val="24"/>
        </w:rPr>
        <w:t xml:space="preserve"> waterbody and how AGDC would lay the pipeline, such as trenching, and </w:t>
      </w:r>
      <w:r w:rsidR="004D1A96">
        <w:rPr>
          <w:rFonts w:cstheme="minorHAnsi"/>
          <w:sz w:val="24"/>
          <w:szCs w:val="24"/>
        </w:rPr>
        <w:t>at what time of year</w:t>
      </w:r>
      <w:r w:rsidRPr="00F4498A">
        <w:rPr>
          <w:rFonts w:cstheme="minorHAnsi"/>
          <w:sz w:val="24"/>
          <w:szCs w:val="24"/>
        </w:rPr>
        <w:t>.</w:t>
      </w:r>
    </w:p>
    <w:p w14:paraId="3845EDFF" w14:textId="556D41DC" w:rsidR="00D3116B" w:rsidRDefault="00454336" w:rsidP="00F4498A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F4498A">
        <w:rPr>
          <w:rFonts w:cstheme="minorHAnsi"/>
          <w:sz w:val="24"/>
          <w:szCs w:val="24"/>
        </w:rPr>
        <w:t>Revised air dispersion modeling of emissions along the pipeline route, at the gas treatment plant at Prudhoe Bay</w:t>
      </w:r>
      <w:r w:rsidR="00767A84">
        <w:rPr>
          <w:rFonts w:cstheme="minorHAnsi"/>
          <w:sz w:val="24"/>
          <w:szCs w:val="24"/>
        </w:rPr>
        <w:t>,</w:t>
      </w:r>
      <w:r w:rsidRPr="00F4498A">
        <w:rPr>
          <w:rFonts w:cstheme="minorHAnsi"/>
          <w:sz w:val="24"/>
          <w:szCs w:val="24"/>
        </w:rPr>
        <w:t xml:space="preserve"> and </w:t>
      </w:r>
      <w:r w:rsidR="00767A84">
        <w:rPr>
          <w:rFonts w:cstheme="minorHAnsi"/>
          <w:sz w:val="24"/>
          <w:szCs w:val="24"/>
        </w:rPr>
        <w:t xml:space="preserve">at </w:t>
      </w:r>
      <w:r w:rsidRPr="00F4498A">
        <w:rPr>
          <w:rFonts w:cstheme="minorHAnsi"/>
          <w:sz w:val="24"/>
          <w:szCs w:val="24"/>
        </w:rPr>
        <w:t xml:space="preserve">liquefaction plant </w:t>
      </w:r>
      <w:r w:rsidR="00767A84">
        <w:rPr>
          <w:rFonts w:cstheme="minorHAnsi"/>
          <w:sz w:val="24"/>
          <w:szCs w:val="24"/>
        </w:rPr>
        <w:t>in</w:t>
      </w:r>
      <w:r w:rsidRPr="00F4498A">
        <w:rPr>
          <w:rFonts w:cstheme="minorHAnsi"/>
          <w:sz w:val="24"/>
          <w:szCs w:val="24"/>
        </w:rPr>
        <w:t xml:space="preserve"> Nikiski.</w:t>
      </w:r>
    </w:p>
    <w:p w14:paraId="4957B4DE" w14:textId="01F907C2" w:rsidR="00D3116B" w:rsidRPr="00F4498A" w:rsidRDefault="00454336" w:rsidP="00F4498A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cstheme="minorHAnsi"/>
          <w:sz w:val="24"/>
          <w:szCs w:val="24"/>
        </w:rPr>
      </w:pPr>
      <w:r w:rsidRPr="00F4498A">
        <w:rPr>
          <w:rFonts w:cstheme="minorHAnsi"/>
          <w:sz w:val="24"/>
          <w:szCs w:val="24"/>
        </w:rPr>
        <w:t xml:space="preserve">Updated annual emissions calculations for maximum LNG carrier operations at the loading terminal in Nikiski. </w:t>
      </w:r>
      <w:r w:rsidR="00767A84">
        <w:rPr>
          <w:rFonts w:cstheme="minorHAnsi"/>
          <w:sz w:val="24"/>
          <w:szCs w:val="24"/>
        </w:rPr>
        <w:t xml:space="preserve"> </w:t>
      </w:r>
      <w:r w:rsidRPr="00F4498A">
        <w:rPr>
          <w:rFonts w:cstheme="minorHAnsi"/>
          <w:sz w:val="24"/>
          <w:szCs w:val="24"/>
        </w:rPr>
        <w:t>The calculations include emissions from as many as 360 LNG carriers a year plus support vessels.</w:t>
      </w:r>
    </w:p>
    <w:p w14:paraId="20E41D19" w14:textId="77777777" w:rsidR="00454336" w:rsidRDefault="00454336" w:rsidP="00F4498A">
      <w:pPr>
        <w:spacing w:after="0" w:line="240" w:lineRule="auto"/>
        <w:ind w:firstLine="720"/>
        <w:rPr>
          <w:rFonts w:cstheme="minorHAnsi"/>
          <w:sz w:val="24"/>
          <w:szCs w:val="24"/>
        </w:rPr>
      </w:pPr>
    </w:p>
    <w:sectPr w:rsidR="004543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861A2" w14:textId="77777777" w:rsidR="00767A84" w:rsidRDefault="00767A84" w:rsidP="00767A84">
      <w:pPr>
        <w:spacing w:after="0" w:line="240" w:lineRule="auto"/>
      </w:pPr>
      <w:r>
        <w:separator/>
      </w:r>
    </w:p>
  </w:endnote>
  <w:endnote w:type="continuationSeparator" w:id="0">
    <w:p w14:paraId="045DEDE7" w14:textId="77777777" w:rsidR="00767A84" w:rsidRDefault="00767A84" w:rsidP="00767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8183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05203C" w14:textId="3EEBFFA2" w:rsidR="00767A84" w:rsidRDefault="00767A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A9B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25B3702" w14:textId="77777777" w:rsidR="00767A84" w:rsidRDefault="00767A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03B17" w14:textId="77777777" w:rsidR="00767A84" w:rsidRDefault="00767A84" w:rsidP="00767A84">
      <w:pPr>
        <w:spacing w:after="0" w:line="240" w:lineRule="auto"/>
      </w:pPr>
      <w:r>
        <w:separator/>
      </w:r>
    </w:p>
  </w:footnote>
  <w:footnote w:type="continuationSeparator" w:id="0">
    <w:p w14:paraId="72D4AAB0" w14:textId="77777777" w:rsidR="00767A84" w:rsidRDefault="00767A84" w:rsidP="00767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042"/>
    <w:multiLevelType w:val="hybridMultilevel"/>
    <w:tmpl w:val="7EF89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6C232D"/>
    <w:multiLevelType w:val="hybridMultilevel"/>
    <w:tmpl w:val="6038C1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9D5C20"/>
    <w:multiLevelType w:val="hybridMultilevel"/>
    <w:tmpl w:val="0E3219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F81041"/>
    <w:multiLevelType w:val="hybridMultilevel"/>
    <w:tmpl w:val="7C5C5E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E00136"/>
    <w:multiLevelType w:val="hybridMultilevel"/>
    <w:tmpl w:val="BAD62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21FC6"/>
    <w:multiLevelType w:val="hybridMultilevel"/>
    <w:tmpl w:val="5126B3E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C15911"/>
    <w:multiLevelType w:val="hybridMultilevel"/>
    <w:tmpl w:val="66F2C6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19"/>
    <w:rsid w:val="00013358"/>
    <w:rsid w:val="00032A74"/>
    <w:rsid w:val="00041294"/>
    <w:rsid w:val="00063CE2"/>
    <w:rsid w:val="00076C4D"/>
    <w:rsid w:val="00092019"/>
    <w:rsid w:val="00116094"/>
    <w:rsid w:val="0014338A"/>
    <w:rsid w:val="001443E3"/>
    <w:rsid w:val="0016111C"/>
    <w:rsid w:val="0016561A"/>
    <w:rsid w:val="0017196B"/>
    <w:rsid w:val="001829B3"/>
    <w:rsid w:val="001F2CF7"/>
    <w:rsid w:val="002046E3"/>
    <w:rsid w:val="002863D4"/>
    <w:rsid w:val="002A109A"/>
    <w:rsid w:val="002E7E28"/>
    <w:rsid w:val="002F1258"/>
    <w:rsid w:val="00327027"/>
    <w:rsid w:val="003A64EB"/>
    <w:rsid w:val="003F1DFA"/>
    <w:rsid w:val="004272E0"/>
    <w:rsid w:val="00454336"/>
    <w:rsid w:val="00490778"/>
    <w:rsid w:val="00497BA4"/>
    <w:rsid w:val="004D1A96"/>
    <w:rsid w:val="004E453D"/>
    <w:rsid w:val="004F682A"/>
    <w:rsid w:val="00557BF1"/>
    <w:rsid w:val="005608AF"/>
    <w:rsid w:val="00565E07"/>
    <w:rsid w:val="00585BCB"/>
    <w:rsid w:val="005C415B"/>
    <w:rsid w:val="00634D19"/>
    <w:rsid w:val="006405C5"/>
    <w:rsid w:val="006B7835"/>
    <w:rsid w:val="00767A84"/>
    <w:rsid w:val="007769C5"/>
    <w:rsid w:val="007832B8"/>
    <w:rsid w:val="007835C2"/>
    <w:rsid w:val="00820B8F"/>
    <w:rsid w:val="00845570"/>
    <w:rsid w:val="00852393"/>
    <w:rsid w:val="008B7FA4"/>
    <w:rsid w:val="008F0C9A"/>
    <w:rsid w:val="00946E9D"/>
    <w:rsid w:val="00951A9B"/>
    <w:rsid w:val="00953AFA"/>
    <w:rsid w:val="009E0C88"/>
    <w:rsid w:val="00A95E4F"/>
    <w:rsid w:val="00B22933"/>
    <w:rsid w:val="00B80C1E"/>
    <w:rsid w:val="00B96946"/>
    <w:rsid w:val="00BA484B"/>
    <w:rsid w:val="00BF505D"/>
    <w:rsid w:val="00C86A0C"/>
    <w:rsid w:val="00C95BD3"/>
    <w:rsid w:val="00CD5853"/>
    <w:rsid w:val="00D1338B"/>
    <w:rsid w:val="00D20A43"/>
    <w:rsid w:val="00D3116B"/>
    <w:rsid w:val="00DB5DB4"/>
    <w:rsid w:val="00E625F2"/>
    <w:rsid w:val="00E72FAC"/>
    <w:rsid w:val="00F4498A"/>
    <w:rsid w:val="00F8758C"/>
    <w:rsid w:val="00F9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D1818"/>
  <w15:chartTrackingRefBased/>
  <w15:docId w15:val="{79FBB539-262E-4A96-BE62-500197B3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B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0B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0C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FA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86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A84"/>
  </w:style>
  <w:style w:type="paragraph" w:styleId="Footer">
    <w:name w:val="footer"/>
    <w:basedOn w:val="Normal"/>
    <w:link w:val="FooterChar"/>
    <w:uiPriority w:val="99"/>
    <w:unhideWhenUsed/>
    <w:rsid w:val="00767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6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per@alask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Persily</dc:creator>
  <cp:keywords/>
  <dc:description/>
  <cp:lastModifiedBy>Ed M. Kazzimir</cp:lastModifiedBy>
  <cp:revision>22</cp:revision>
  <cp:lastPrinted>2019-09-30T17:18:00Z</cp:lastPrinted>
  <dcterms:created xsi:type="dcterms:W3CDTF">2019-09-30T00:09:00Z</dcterms:created>
  <dcterms:modified xsi:type="dcterms:W3CDTF">2019-09-30T22:09:00Z</dcterms:modified>
</cp:coreProperties>
</file>