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FE4" w:rsidRPr="00B94743" w:rsidRDefault="00815459" w:rsidP="001B29CB">
      <w:pPr>
        <w:spacing w:after="0"/>
        <w:rPr>
          <w:rFonts w:asciiTheme="minorHAnsi" w:hAnsiTheme="minorHAnsi" w:cstheme="minorHAnsi"/>
          <w:b/>
          <w:sz w:val="32"/>
          <w:szCs w:val="24"/>
        </w:rPr>
      </w:pPr>
      <w:r w:rsidRPr="00B94743">
        <w:rPr>
          <w:rFonts w:asciiTheme="minorHAnsi" w:hAnsiTheme="minorHAnsi" w:cstheme="minorHAnsi"/>
          <w:b/>
          <w:sz w:val="32"/>
          <w:szCs w:val="24"/>
        </w:rPr>
        <w:t xml:space="preserve">Mat-Su Borough challenges </w:t>
      </w:r>
      <w:r w:rsidR="00FC1FE4" w:rsidRPr="00B94743">
        <w:rPr>
          <w:rFonts w:asciiTheme="minorHAnsi" w:hAnsiTheme="minorHAnsi" w:cstheme="minorHAnsi"/>
          <w:b/>
          <w:sz w:val="32"/>
          <w:szCs w:val="24"/>
        </w:rPr>
        <w:t>Nikiski selection for LNG plant</w:t>
      </w:r>
      <w:r w:rsidR="007D1A27">
        <w:rPr>
          <w:rFonts w:asciiTheme="minorHAnsi" w:hAnsiTheme="minorHAnsi" w:cstheme="minorHAnsi"/>
          <w:b/>
          <w:sz w:val="32"/>
          <w:szCs w:val="24"/>
        </w:rPr>
        <w:t xml:space="preserve"> site</w:t>
      </w:r>
    </w:p>
    <w:p w:rsidR="00C77E16" w:rsidRPr="001B29CB" w:rsidRDefault="00C77E16" w:rsidP="001B29CB">
      <w:pPr>
        <w:spacing w:after="0"/>
        <w:rPr>
          <w:rFonts w:asciiTheme="minorHAnsi" w:hAnsiTheme="minorHAnsi" w:cstheme="minorHAnsi"/>
          <w:sz w:val="24"/>
          <w:szCs w:val="24"/>
        </w:rPr>
      </w:pPr>
    </w:p>
    <w:p w:rsidR="00A331A8" w:rsidRPr="001B29CB" w:rsidRDefault="00A331A8" w:rsidP="001B29CB">
      <w:pPr>
        <w:spacing w:after="0"/>
        <w:rPr>
          <w:rFonts w:asciiTheme="minorHAnsi" w:hAnsiTheme="minorHAnsi" w:cstheme="minorHAnsi"/>
          <w:sz w:val="24"/>
          <w:szCs w:val="24"/>
        </w:rPr>
      </w:pPr>
      <w:r w:rsidRPr="001B29CB">
        <w:rPr>
          <w:rFonts w:asciiTheme="minorHAnsi" w:hAnsiTheme="minorHAnsi" w:cstheme="minorHAnsi"/>
          <w:sz w:val="24"/>
          <w:szCs w:val="24"/>
        </w:rPr>
        <w:t xml:space="preserve">By Larry Persily </w:t>
      </w:r>
      <w:hyperlink r:id="rId8" w:history="1">
        <w:r w:rsidR="005067C8" w:rsidRPr="001B29CB">
          <w:rPr>
            <w:rStyle w:val="Hyperlink"/>
            <w:rFonts w:asciiTheme="minorHAnsi" w:hAnsiTheme="minorHAnsi" w:cstheme="minorHAnsi"/>
            <w:sz w:val="24"/>
            <w:szCs w:val="24"/>
          </w:rPr>
          <w:t>paper@alaskan.com</w:t>
        </w:r>
      </w:hyperlink>
    </w:p>
    <w:p w:rsidR="00A331A8" w:rsidRPr="001B29CB" w:rsidRDefault="00A27528" w:rsidP="001B29CB">
      <w:pPr>
        <w:spacing w:after="0"/>
        <w:rPr>
          <w:rFonts w:asciiTheme="minorHAnsi" w:hAnsiTheme="minorHAnsi" w:cstheme="minorHAnsi"/>
          <w:sz w:val="24"/>
          <w:szCs w:val="24"/>
        </w:rPr>
      </w:pPr>
      <w:r w:rsidRPr="001B29CB">
        <w:rPr>
          <w:rFonts w:asciiTheme="minorHAnsi" w:hAnsiTheme="minorHAnsi" w:cstheme="minorHAnsi"/>
          <w:sz w:val="24"/>
          <w:szCs w:val="24"/>
        </w:rPr>
        <w:t xml:space="preserve">Jan. </w:t>
      </w:r>
      <w:r w:rsidR="006F100B" w:rsidRPr="001B29CB">
        <w:rPr>
          <w:rFonts w:asciiTheme="minorHAnsi" w:hAnsiTheme="minorHAnsi" w:cstheme="minorHAnsi"/>
          <w:sz w:val="24"/>
          <w:szCs w:val="24"/>
        </w:rPr>
        <w:t>15</w:t>
      </w:r>
      <w:r w:rsidRPr="001B29CB">
        <w:rPr>
          <w:rFonts w:asciiTheme="minorHAnsi" w:hAnsiTheme="minorHAnsi" w:cstheme="minorHAnsi"/>
          <w:sz w:val="24"/>
          <w:szCs w:val="24"/>
        </w:rPr>
        <w:t>, 2018</w:t>
      </w:r>
    </w:p>
    <w:p w:rsidR="00A331A8" w:rsidRPr="001B29CB" w:rsidRDefault="00A331A8" w:rsidP="001B29CB">
      <w:pPr>
        <w:spacing w:after="0"/>
        <w:rPr>
          <w:rFonts w:asciiTheme="minorHAnsi" w:hAnsiTheme="minorHAnsi" w:cstheme="minorHAnsi"/>
          <w:sz w:val="24"/>
          <w:szCs w:val="24"/>
        </w:rPr>
      </w:pPr>
    </w:p>
    <w:p w:rsidR="00C77E16" w:rsidRPr="001B29CB" w:rsidRDefault="008357BF" w:rsidP="001B29CB">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The Matanuska-Susitna Borough</w:t>
      </w:r>
      <w:r w:rsidR="004E67F4" w:rsidRPr="001B29CB">
        <w:rPr>
          <w:rFonts w:asciiTheme="minorHAnsi" w:eastAsiaTheme="minorEastAsia" w:hAnsiTheme="minorHAnsi" w:cstheme="minorHAnsi"/>
          <w:sz w:val="24"/>
          <w:szCs w:val="24"/>
        </w:rPr>
        <w:t xml:space="preserve"> </w:t>
      </w:r>
      <w:r w:rsidR="00C77E16" w:rsidRPr="001B29CB">
        <w:rPr>
          <w:rFonts w:asciiTheme="minorHAnsi" w:eastAsiaTheme="minorEastAsia" w:hAnsiTheme="minorHAnsi" w:cstheme="minorHAnsi"/>
          <w:sz w:val="24"/>
          <w:szCs w:val="24"/>
        </w:rPr>
        <w:t xml:space="preserve">alleges the Alaska LNG project and federal regulators may have violated the National Environmental Policy Act and federal Clean Water Act by “improperly and intentionally excluding” the borough’s </w:t>
      </w:r>
      <w:r w:rsidR="0069252E" w:rsidRPr="001B29CB">
        <w:rPr>
          <w:rFonts w:asciiTheme="minorHAnsi" w:eastAsiaTheme="minorEastAsia" w:hAnsiTheme="minorHAnsi" w:cstheme="minorHAnsi"/>
          <w:sz w:val="24"/>
          <w:szCs w:val="24"/>
        </w:rPr>
        <w:t xml:space="preserve">Port MacKenzie </w:t>
      </w:r>
      <w:r w:rsidR="00C77E16" w:rsidRPr="001B29CB">
        <w:rPr>
          <w:rFonts w:asciiTheme="minorHAnsi" w:eastAsiaTheme="minorEastAsia" w:hAnsiTheme="minorHAnsi" w:cstheme="minorHAnsi"/>
          <w:sz w:val="24"/>
          <w:szCs w:val="24"/>
        </w:rPr>
        <w:t xml:space="preserve">as a “reasonable alternative” </w:t>
      </w:r>
      <w:r w:rsidR="00ED0B5E" w:rsidRPr="001B29CB">
        <w:rPr>
          <w:rFonts w:asciiTheme="minorHAnsi" w:eastAsiaTheme="minorEastAsia" w:hAnsiTheme="minorHAnsi" w:cstheme="minorHAnsi"/>
          <w:sz w:val="24"/>
          <w:szCs w:val="24"/>
        </w:rPr>
        <w:t xml:space="preserve">for </w:t>
      </w:r>
      <w:r w:rsidR="00C77E16" w:rsidRPr="001B29CB">
        <w:rPr>
          <w:rFonts w:asciiTheme="minorHAnsi" w:eastAsiaTheme="minorEastAsia" w:hAnsiTheme="minorHAnsi" w:cstheme="minorHAnsi"/>
          <w:sz w:val="24"/>
          <w:szCs w:val="24"/>
        </w:rPr>
        <w:t xml:space="preserve">the </w:t>
      </w:r>
      <w:r w:rsidR="007D1A27">
        <w:rPr>
          <w:rFonts w:asciiTheme="minorHAnsi" w:eastAsiaTheme="minorEastAsia" w:hAnsiTheme="minorHAnsi" w:cstheme="minorHAnsi"/>
          <w:sz w:val="24"/>
          <w:szCs w:val="24"/>
        </w:rPr>
        <w:t>proposed</w:t>
      </w:r>
      <w:r w:rsidR="00ED0B5E" w:rsidRPr="001B29CB">
        <w:rPr>
          <w:rFonts w:asciiTheme="minorHAnsi" w:eastAsiaTheme="minorEastAsia" w:hAnsiTheme="minorHAnsi" w:cstheme="minorHAnsi"/>
          <w:sz w:val="24"/>
          <w:szCs w:val="24"/>
        </w:rPr>
        <w:t xml:space="preserve"> </w:t>
      </w:r>
      <w:r w:rsidR="00C77E16" w:rsidRPr="001B29CB">
        <w:rPr>
          <w:rFonts w:asciiTheme="minorHAnsi" w:eastAsiaTheme="minorEastAsia" w:hAnsiTheme="minorHAnsi" w:cstheme="minorHAnsi"/>
          <w:sz w:val="24"/>
          <w:szCs w:val="24"/>
        </w:rPr>
        <w:t>liquefied natural gas plant</w:t>
      </w:r>
      <w:r w:rsidR="000E710D" w:rsidRPr="001B29CB">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7D1A27">
        <w:rPr>
          <w:rFonts w:asciiTheme="minorHAnsi" w:eastAsiaTheme="minorEastAsia" w:hAnsiTheme="minorHAnsi" w:cstheme="minorHAnsi"/>
          <w:sz w:val="24"/>
          <w:szCs w:val="24"/>
        </w:rPr>
        <w:t>The p</w:t>
      </w:r>
      <w:r w:rsidR="000E710D" w:rsidRPr="001B29CB">
        <w:rPr>
          <w:rFonts w:asciiTheme="minorHAnsi" w:eastAsiaTheme="minorEastAsia" w:hAnsiTheme="minorHAnsi" w:cstheme="minorHAnsi"/>
          <w:sz w:val="24"/>
          <w:szCs w:val="24"/>
        </w:rPr>
        <w:t xml:space="preserve">roject leadership </w:t>
      </w:r>
      <w:r w:rsidR="007D1A27">
        <w:rPr>
          <w:rFonts w:asciiTheme="minorHAnsi" w:eastAsiaTheme="minorEastAsia" w:hAnsiTheme="minorHAnsi" w:cstheme="minorHAnsi"/>
          <w:sz w:val="24"/>
          <w:szCs w:val="24"/>
        </w:rPr>
        <w:t xml:space="preserve">team </w:t>
      </w:r>
      <w:r w:rsidR="008F545A" w:rsidRPr="001B29CB">
        <w:rPr>
          <w:rFonts w:asciiTheme="minorHAnsi" w:eastAsiaTheme="minorEastAsia" w:hAnsiTheme="minorHAnsi" w:cstheme="minorHAnsi"/>
          <w:sz w:val="24"/>
          <w:szCs w:val="24"/>
        </w:rPr>
        <w:t>more than four</w:t>
      </w:r>
      <w:r w:rsidR="000E710D" w:rsidRPr="001B29CB">
        <w:rPr>
          <w:rFonts w:asciiTheme="minorHAnsi" w:eastAsiaTheme="minorEastAsia" w:hAnsiTheme="minorHAnsi" w:cstheme="minorHAnsi"/>
          <w:sz w:val="24"/>
          <w:szCs w:val="24"/>
        </w:rPr>
        <w:t xml:space="preserve"> years ago selected Ni</w:t>
      </w:r>
      <w:r w:rsidR="00C77E16" w:rsidRPr="001B29CB">
        <w:rPr>
          <w:rFonts w:asciiTheme="minorHAnsi" w:eastAsiaTheme="minorEastAsia" w:hAnsiTheme="minorHAnsi" w:cstheme="minorHAnsi"/>
          <w:sz w:val="24"/>
          <w:szCs w:val="24"/>
        </w:rPr>
        <w:t>kiski</w:t>
      </w:r>
      <w:r w:rsidR="000E710D" w:rsidRPr="001B29CB">
        <w:rPr>
          <w:rFonts w:asciiTheme="minorHAnsi" w:eastAsiaTheme="minorEastAsia" w:hAnsiTheme="minorHAnsi" w:cstheme="minorHAnsi"/>
          <w:sz w:val="24"/>
          <w:szCs w:val="24"/>
        </w:rPr>
        <w:t xml:space="preserve"> as the preferred site for the LNG plant and marine terminal</w:t>
      </w:r>
      <w:r w:rsidR="00353533" w:rsidRPr="001B29CB">
        <w:rPr>
          <w:rFonts w:asciiTheme="minorHAnsi" w:eastAsiaTheme="minorEastAsia" w:hAnsiTheme="minorHAnsi" w:cstheme="minorHAnsi"/>
          <w:sz w:val="24"/>
          <w:szCs w:val="24"/>
        </w:rPr>
        <w:t xml:space="preserve"> after analyzing </w:t>
      </w:r>
      <w:r w:rsidR="00D36561">
        <w:rPr>
          <w:rFonts w:asciiTheme="minorHAnsi" w:eastAsiaTheme="minorEastAsia" w:hAnsiTheme="minorHAnsi" w:cstheme="minorHAnsi"/>
          <w:sz w:val="24"/>
          <w:szCs w:val="24"/>
        </w:rPr>
        <w:t xml:space="preserve">more than </w:t>
      </w:r>
      <w:r w:rsidR="00353533" w:rsidRPr="001B29CB">
        <w:rPr>
          <w:rFonts w:asciiTheme="minorHAnsi" w:eastAsiaTheme="minorEastAsia" w:hAnsiTheme="minorHAnsi" w:cstheme="minorHAnsi"/>
          <w:sz w:val="24"/>
          <w:szCs w:val="24"/>
        </w:rPr>
        <w:t xml:space="preserve">two dozen </w:t>
      </w:r>
      <w:r w:rsidR="00D36561">
        <w:rPr>
          <w:rFonts w:asciiTheme="minorHAnsi" w:eastAsiaTheme="minorEastAsia" w:hAnsiTheme="minorHAnsi" w:cstheme="minorHAnsi"/>
          <w:sz w:val="24"/>
          <w:szCs w:val="24"/>
        </w:rPr>
        <w:t xml:space="preserve">possible </w:t>
      </w:r>
      <w:r w:rsidR="00353533" w:rsidRPr="001B29CB">
        <w:rPr>
          <w:rFonts w:asciiTheme="minorHAnsi" w:eastAsiaTheme="minorEastAsia" w:hAnsiTheme="minorHAnsi" w:cstheme="minorHAnsi"/>
          <w:sz w:val="24"/>
          <w:szCs w:val="24"/>
        </w:rPr>
        <w:t>locations in Southcentral Alaska</w:t>
      </w:r>
      <w:r w:rsidR="00C77E16" w:rsidRPr="001B29CB">
        <w:rPr>
          <w:rFonts w:asciiTheme="minorHAnsi" w:eastAsiaTheme="minorEastAsia" w:hAnsiTheme="minorHAnsi" w:cstheme="minorHAnsi"/>
          <w:sz w:val="24"/>
          <w:szCs w:val="24"/>
        </w:rPr>
        <w:t>.</w:t>
      </w:r>
    </w:p>
    <w:p w:rsidR="00C77E16" w:rsidRPr="001B29CB" w:rsidRDefault="00C77E16" w:rsidP="001B29CB">
      <w:pPr>
        <w:spacing w:after="0"/>
        <w:rPr>
          <w:rFonts w:asciiTheme="minorHAnsi" w:eastAsiaTheme="minorEastAsia" w:hAnsiTheme="minorHAnsi" w:cstheme="minorHAnsi"/>
          <w:sz w:val="24"/>
          <w:szCs w:val="24"/>
        </w:rPr>
      </w:pPr>
    </w:p>
    <w:p w:rsidR="002F511F" w:rsidRPr="001B29CB" w:rsidRDefault="002F511F" w:rsidP="001B29CB">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 xml:space="preserve">The state-led Alaska LNG </w:t>
      </w:r>
      <w:r w:rsidR="000E3349" w:rsidRPr="001B29CB">
        <w:rPr>
          <w:rFonts w:asciiTheme="minorHAnsi" w:eastAsiaTheme="minorEastAsia" w:hAnsiTheme="minorHAnsi" w:cstheme="minorHAnsi"/>
          <w:sz w:val="24"/>
          <w:szCs w:val="24"/>
        </w:rPr>
        <w:t xml:space="preserve">project </w:t>
      </w:r>
      <w:r w:rsidRPr="001B29CB">
        <w:rPr>
          <w:rFonts w:asciiTheme="minorHAnsi" w:eastAsiaTheme="minorEastAsia" w:hAnsiTheme="minorHAnsi" w:cstheme="minorHAnsi"/>
          <w:sz w:val="24"/>
          <w:szCs w:val="24"/>
        </w:rPr>
        <w:t xml:space="preserve">is waiting for the Federal Energy Regulatory Commission </w:t>
      </w:r>
      <w:r w:rsidR="002418BC" w:rsidRPr="001B29CB">
        <w:rPr>
          <w:rFonts w:asciiTheme="minorHAnsi" w:eastAsiaTheme="minorEastAsia" w:hAnsiTheme="minorHAnsi" w:cstheme="minorHAnsi"/>
          <w:sz w:val="24"/>
          <w:szCs w:val="24"/>
        </w:rPr>
        <w:t xml:space="preserve">(FERC) </w:t>
      </w:r>
      <w:r w:rsidRPr="001B29CB">
        <w:rPr>
          <w:rFonts w:asciiTheme="minorHAnsi" w:eastAsiaTheme="minorEastAsia" w:hAnsiTheme="minorHAnsi" w:cstheme="minorHAnsi"/>
          <w:sz w:val="24"/>
          <w:szCs w:val="24"/>
        </w:rPr>
        <w:t xml:space="preserve">to set a timeline for </w:t>
      </w:r>
      <w:r w:rsidR="000E3349" w:rsidRPr="001B29CB">
        <w:rPr>
          <w:rFonts w:asciiTheme="minorHAnsi" w:eastAsiaTheme="minorEastAsia" w:hAnsiTheme="minorHAnsi" w:cstheme="minorHAnsi"/>
          <w:sz w:val="24"/>
          <w:szCs w:val="24"/>
        </w:rPr>
        <w:t>its</w:t>
      </w:r>
      <w:r w:rsidRPr="001B29CB">
        <w:rPr>
          <w:rFonts w:asciiTheme="minorHAnsi" w:eastAsiaTheme="minorEastAsia" w:hAnsiTheme="minorHAnsi" w:cstheme="minorHAnsi"/>
          <w:sz w:val="24"/>
          <w:szCs w:val="24"/>
        </w:rPr>
        <w:t xml:space="preserve"> environmental impact statement</w:t>
      </w:r>
      <w:r w:rsidR="000E3349" w:rsidRPr="001B29CB">
        <w:rPr>
          <w:rFonts w:asciiTheme="minorHAnsi" w:eastAsiaTheme="minorEastAsia" w:hAnsiTheme="minorHAnsi" w:cstheme="minorHAnsi"/>
          <w:sz w:val="24"/>
          <w:szCs w:val="24"/>
        </w:rPr>
        <w:t xml:space="preserve"> (EIS)</w:t>
      </w:r>
      <w:r w:rsidRPr="001B29CB">
        <w:rPr>
          <w:rFonts w:asciiTheme="minorHAnsi" w:eastAsiaTheme="minorEastAsia" w:hAnsiTheme="minorHAnsi" w:cstheme="minorHAnsi"/>
          <w:sz w:val="24"/>
          <w:szCs w:val="24"/>
        </w:rPr>
        <w:t xml:space="preserve">, which </w:t>
      </w:r>
      <w:r w:rsidR="00CE751D">
        <w:rPr>
          <w:rFonts w:asciiTheme="minorHAnsi" w:eastAsiaTheme="minorEastAsia" w:hAnsiTheme="minorHAnsi" w:cstheme="minorHAnsi"/>
          <w:sz w:val="24"/>
          <w:szCs w:val="24"/>
        </w:rPr>
        <w:t>will</w:t>
      </w:r>
      <w:r w:rsidRPr="001B29CB">
        <w:rPr>
          <w:rFonts w:asciiTheme="minorHAnsi" w:eastAsiaTheme="minorEastAsia" w:hAnsiTheme="minorHAnsi" w:cstheme="minorHAnsi"/>
          <w:sz w:val="24"/>
          <w:szCs w:val="24"/>
        </w:rPr>
        <w:t xml:space="preserve"> include analysis of project alternatives </w:t>
      </w:r>
      <w:r w:rsidR="00F91D7E" w:rsidRPr="001B29CB">
        <w:rPr>
          <w:rFonts w:asciiTheme="minorHAnsi" w:eastAsiaTheme="minorEastAsia" w:hAnsiTheme="minorHAnsi" w:cstheme="minorHAnsi"/>
          <w:sz w:val="24"/>
          <w:szCs w:val="24"/>
        </w:rPr>
        <w:t>including</w:t>
      </w:r>
      <w:r w:rsidRPr="001B29CB">
        <w:rPr>
          <w:rFonts w:asciiTheme="minorHAnsi" w:eastAsiaTheme="minorEastAsia" w:hAnsiTheme="minorHAnsi" w:cstheme="minorHAnsi"/>
          <w:sz w:val="24"/>
          <w:szCs w:val="24"/>
        </w:rPr>
        <w:t xml:space="preserve"> LNG plant sites, pipeline routings and river crossings</w:t>
      </w:r>
      <w:r w:rsidR="000E3349" w:rsidRPr="001B29CB">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4D54FC" w:rsidRPr="001B29CB">
        <w:rPr>
          <w:rFonts w:asciiTheme="minorHAnsi" w:eastAsiaTheme="minorEastAsia" w:hAnsiTheme="minorHAnsi" w:cstheme="minorHAnsi"/>
          <w:sz w:val="24"/>
          <w:szCs w:val="24"/>
        </w:rPr>
        <w:t xml:space="preserve">One of the jobs of </w:t>
      </w:r>
      <w:r w:rsidR="00DD6541" w:rsidRPr="001B29CB">
        <w:rPr>
          <w:rFonts w:asciiTheme="minorHAnsi" w:eastAsiaTheme="minorEastAsia" w:hAnsiTheme="minorHAnsi" w:cstheme="minorHAnsi"/>
          <w:sz w:val="24"/>
          <w:szCs w:val="24"/>
        </w:rPr>
        <w:t>an</w:t>
      </w:r>
      <w:r w:rsidR="000E3349" w:rsidRPr="001B29CB">
        <w:rPr>
          <w:rFonts w:asciiTheme="minorHAnsi" w:eastAsiaTheme="minorEastAsia" w:hAnsiTheme="minorHAnsi" w:cstheme="minorHAnsi"/>
          <w:sz w:val="24"/>
          <w:szCs w:val="24"/>
        </w:rPr>
        <w:t xml:space="preserve"> EIS </w:t>
      </w:r>
      <w:r w:rsidR="004D54FC" w:rsidRPr="001B29CB">
        <w:rPr>
          <w:rFonts w:asciiTheme="minorHAnsi" w:eastAsiaTheme="minorEastAsia" w:hAnsiTheme="minorHAnsi" w:cstheme="minorHAnsi"/>
          <w:sz w:val="24"/>
          <w:szCs w:val="24"/>
        </w:rPr>
        <w:t xml:space="preserve">is to </w:t>
      </w:r>
      <w:r w:rsidR="000E3349" w:rsidRPr="001B29CB">
        <w:rPr>
          <w:rFonts w:asciiTheme="minorHAnsi" w:eastAsiaTheme="minorEastAsia" w:hAnsiTheme="minorHAnsi" w:cstheme="minorHAnsi"/>
          <w:sz w:val="24"/>
          <w:szCs w:val="24"/>
        </w:rPr>
        <w:t>determine</w:t>
      </w:r>
      <w:r w:rsidRPr="001B29CB">
        <w:rPr>
          <w:rFonts w:asciiTheme="minorHAnsi" w:eastAsiaTheme="minorEastAsia" w:hAnsiTheme="minorHAnsi" w:cstheme="minorHAnsi"/>
          <w:sz w:val="24"/>
          <w:szCs w:val="24"/>
        </w:rPr>
        <w:t xml:space="preserve"> the least environmentally damaging practicable alternative.</w:t>
      </w:r>
      <w:r w:rsidR="002418BC" w:rsidRPr="001B29CB">
        <w:rPr>
          <w:rFonts w:asciiTheme="minorHAnsi" w:eastAsiaTheme="minorEastAsia" w:hAnsiTheme="minorHAnsi" w:cstheme="minorHAnsi"/>
          <w:sz w:val="24"/>
          <w:szCs w:val="24"/>
        </w:rPr>
        <w:t xml:space="preserve"> </w:t>
      </w:r>
      <w:r w:rsidR="00E856F8">
        <w:rPr>
          <w:rFonts w:asciiTheme="minorHAnsi" w:eastAsiaTheme="minorEastAsia" w:hAnsiTheme="minorHAnsi" w:cstheme="minorHAnsi"/>
          <w:sz w:val="24"/>
          <w:szCs w:val="24"/>
        </w:rPr>
        <w:t xml:space="preserve"> </w:t>
      </w:r>
      <w:bookmarkStart w:id="0" w:name="_GoBack"/>
      <w:bookmarkEnd w:id="0"/>
      <w:r w:rsidR="002418BC" w:rsidRPr="001B29CB">
        <w:rPr>
          <w:rFonts w:asciiTheme="minorHAnsi" w:eastAsiaTheme="minorEastAsia" w:hAnsiTheme="minorHAnsi" w:cstheme="minorHAnsi"/>
          <w:sz w:val="24"/>
          <w:szCs w:val="24"/>
        </w:rPr>
        <w:t xml:space="preserve">The Matanuska-Susitna Borough, in its </w:t>
      </w:r>
      <w:r w:rsidR="00647348" w:rsidRPr="001B29CB">
        <w:rPr>
          <w:rFonts w:asciiTheme="minorHAnsi" w:eastAsiaTheme="minorEastAsia" w:hAnsiTheme="minorHAnsi" w:cstheme="minorHAnsi"/>
          <w:sz w:val="24"/>
          <w:szCs w:val="24"/>
        </w:rPr>
        <w:t xml:space="preserve">Jan. </w:t>
      </w:r>
      <w:r w:rsidR="002418BC" w:rsidRPr="001B29CB">
        <w:rPr>
          <w:rFonts w:asciiTheme="minorHAnsi" w:eastAsiaTheme="minorEastAsia" w:hAnsiTheme="minorHAnsi" w:cstheme="minorHAnsi"/>
          <w:sz w:val="24"/>
          <w:szCs w:val="24"/>
        </w:rPr>
        <w:t xml:space="preserve">9 filing with FERC, asks that the </w:t>
      </w:r>
      <w:r w:rsidR="00594E07" w:rsidRPr="001B29CB">
        <w:rPr>
          <w:rFonts w:asciiTheme="minorHAnsi" w:eastAsiaTheme="minorEastAsia" w:hAnsiTheme="minorHAnsi" w:cstheme="minorHAnsi"/>
          <w:sz w:val="24"/>
          <w:szCs w:val="24"/>
        </w:rPr>
        <w:t xml:space="preserve">EIS include an accurate assessment of Port MacKenzie, which </w:t>
      </w:r>
      <w:r w:rsidR="006E003F" w:rsidRPr="001B29CB">
        <w:rPr>
          <w:rFonts w:asciiTheme="minorHAnsi" w:eastAsiaTheme="minorEastAsia" w:hAnsiTheme="minorHAnsi" w:cstheme="minorHAnsi"/>
          <w:sz w:val="24"/>
          <w:szCs w:val="24"/>
        </w:rPr>
        <w:t xml:space="preserve">the borough </w:t>
      </w:r>
      <w:r w:rsidR="000E3349" w:rsidRPr="001B29CB">
        <w:rPr>
          <w:rFonts w:asciiTheme="minorHAnsi" w:eastAsiaTheme="minorEastAsia" w:hAnsiTheme="minorHAnsi" w:cstheme="minorHAnsi"/>
          <w:sz w:val="24"/>
          <w:szCs w:val="24"/>
        </w:rPr>
        <w:t>says</w:t>
      </w:r>
      <w:r w:rsidR="00594E07" w:rsidRPr="001B29CB">
        <w:rPr>
          <w:rFonts w:asciiTheme="minorHAnsi" w:eastAsiaTheme="minorEastAsia" w:hAnsiTheme="minorHAnsi" w:cstheme="minorHAnsi"/>
          <w:sz w:val="24"/>
          <w:szCs w:val="24"/>
        </w:rPr>
        <w:t xml:space="preserve"> </w:t>
      </w:r>
      <w:r w:rsidR="00DD6541" w:rsidRPr="001B29CB">
        <w:rPr>
          <w:rFonts w:asciiTheme="minorHAnsi" w:eastAsiaTheme="minorEastAsia" w:hAnsiTheme="minorHAnsi" w:cstheme="minorHAnsi"/>
          <w:sz w:val="24"/>
          <w:szCs w:val="24"/>
        </w:rPr>
        <w:t>is</w:t>
      </w:r>
      <w:r w:rsidR="000E3349" w:rsidRPr="001B29CB">
        <w:rPr>
          <w:rFonts w:asciiTheme="minorHAnsi" w:eastAsiaTheme="minorEastAsia" w:hAnsiTheme="minorHAnsi" w:cstheme="minorHAnsi"/>
          <w:sz w:val="24"/>
          <w:szCs w:val="24"/>
        </w:rPr>
        <w:t xml:space="preserve"> lacking </w:t>
      </w:r>
      <w:r w:rsidR="00DD6541" w:rsidRPr="001B29CB">
        <w:rPr>
          <w:rFonts w:asciiTheme="minorHAnsi" w:eastAsiaTheme="minorEastAsia" w:hAnsiTheme="minorHAnsi" w:cstheme="minorHAnsi"/>
          <w:sz w:val="24"/>
          <w:szCs w:val="24"/>
        </w:rPr>
        <w:t xml:space="preserve">from the project’s application </w:t>
      </w:r>
      <w:r w:rsidR="000E3349" w:rsidRPr="001B29CB">
        <w:rPr>
          <w:rFonts w:asciiTheme="minorHAnsi" w:eastAsiaTheme="minorEastAsia" w:hAnsiTheme="minorHAnsi" w:cstheme="minorHAnsi"/>
          <w:sz w:val="24"/>
          <w:szCs w:val="24"/>
        </w:rPr>
        <w:t xml:space="preserve">and, if done properly, </w:t>
      </w:r>
      <w:r w:rsidR="00594E07" w:rsidRPr="001B29CB">
        <w:rPr>
          <w:rFonts w:asciiTheme="minorHAnsi" w:eastAsiaTheme="minorEastAsia" w:hAnsiTheme="minorHAnsi" w:cstheme="minorHAnsi"/>
          <w:sz w:val="24"/>
          <w:szCs w:val="24"/>
        </w:rPr>
        <w:t xml:space="preserve">would </w:t>
      </w:r>
      <w:r w:rsidR="004D54FC" w:rsidRPr="001B29CB">
        <w:rPr>
          <w:rFonts w:asciiTheme="minorHAnsi" w:eastAsiaTheme="minorEastAsia" w:hAnsiTheme="minorHAnsi" w:cstheme="minorHAnsi"/>
          <w:sz w:val="24"/>
          <w:szCs w:val="24"/>
        </w:rPr>
        <w:t>determine that</w:t>
      </w:r>
      <w:r w:rsidR="000E3349" w:rsidRPr="001B29CB">
        <w:rPr>
          <w:rFonts w:asciiTheme="minorHAnsi" w:eastAsiaTheme="minorEastAsia" w:hAnsiTheme="minorHAnsi" w:cstheme="minorHAnsi"/>
          <w:sz w:val="24"/>
          <w:szCs w:val="24"/>
        </w:rPr>
        <w:t xml:space="preserve"> the port </w:t>
      </w:r>
      <w:r w:rsidR="004D54FC" w:rsidRPr="001B29CB">
        <w:rPr>
          <w:rFonts w:asciiTheme="minorHAnsi" w:eastAsiaTheme="minorEastAsia" w:hAnsiTheme="minorHAnsi" w:cstheme="minorHAnsi"/>
          <w:sz w:val="24"/>
          <w:szCs w:val="24"/>
        </w:rPr>
        <w:t>i</w:t>
      </w:r>
      <w:r w:rsidR="000E3349" w:rsidRPr="001B29CB">
        <w:rPr>
          <w:rFonts w:asciiTheme="minorHAnsi" w:eastAsiaTheme="minorEastAsia" w:hAnsiTheme="minorHAnsi" w:cstheme="minorHAnsi"/>
          <w:sz w:val="24"/>
          <w:szCs w:val="24"/>
        </w:rPr>
        <w:t xml:space="preserve">s the best </w:t>
      </w:r>
      <w:r w:rsidR="004D54FC" w:rsidRPr="001B29CB">
        <w:rPr>
          <w:rFonts w:asciiTheme="minorHAnsi" w:eastAsiaTheme="minorEastAsia" w:hAnsiTheme="minorHAnsi" w:cstheme="minorHAnsi"/>
          <w:sz w:val="24"/>
          <w:szCs w:val="24"/>
        </w:rPr>
        <w:t>option among</w:t>
      </w:r>
      <w:r w:rsidR="00594E07" w:rsidRPr="001B29CB">
        <w:rPr>
          <w:rFonts w:asciiTheme="minorHAnsi" w:eastAsiaTheme="minorEastAsia" w:hAnsiTheme="minorHAnsi" w:cstheme="minorHAnsi"/>
          <w:sz w:val="24"/>
          <w:szCs w:val="24"/>
        </w:rPr>
        <w:t xml:space="preserve"> the </w:t>
      </w:r>
      <w:r w:rsidR="00F91D7E" w:rsidRPr="001B29CB">
        <w:rPr>
          <w:rFonts w:asciiTheme="minorHAnsi" w:eastAsiaTheme="minorEastAsia" w:hAnsiTheme="minorHAnsi" w:cstheme="minorHAnsi"/>
          <w:sz w:val="24"/>
          <w:szCs w:val="24"/>
        </w:rPr>
        <w:t xml:space="preserve">LNG site </w:t>
      </w:r>
      <w:r w:rsidR="00594E07" w:rsidRPr="001B29CB">
        <w:rPr>
          <w:rFonts w:asciiTheme="minorHAnsi" w:eastAsiaTheme="minorEastAsia" w:hAnsiTheme="minorHAnsi" w:cstheme="minorHAnsi"/>
          <w:sz w:val="24"/>
          <w:szCs w:val="24"/>
        </w:rPr>
        <w:t>alternatives.</w:t>
      </w:r>
    </w:p>
    <w:p w:rsidR="002F511F" w:rsidRPr="001B29CB" w:rsidRDefault="002F511F" w:rsidP="001B29CB">
      <w:pPr>
        <w:spacing w:after="0"/>
        <w:rPr>
          <w:rFonts w:asciiTheme="minorHAnsi" w:eastAsiaTheme="minorEastAsia" w:hAnsiTheme="minorHAnsi" w:cstheme="minorHAnsi"/>
          <w:sz w:val="24"/>
          <w:szCs w:val="24"/>
        </w:rPr>
      </w:pPr>
    </w:p>
    <w:p w:rsidR="000E710D" w:rsidRPr="001B29CB" w:rsidRDefault="000E710D" w:rsidP="001B29CB">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The borough allege</w:t>
      </w:r>
      <w:r w:rsidR="00BB280F">
        <w:rPr>
          <w:rFonts w:asciiTheme="minorHAnsi" w:eastAsiaTheme="minorEastAsia" w:hAnsiTheme="minorHAnsi" w:cstheme="minorHAnsi"/>
          <w:sz w:val="24"/>
          <w:szCs w:val="24"/>
        </w:rPr>
        <w:t>d</w:t>
      </w:r>
      <w:r w:rsidRPr="001B29CB">
        <w:rPr>
          <w:rFonts w:asciiTheme="minorHAnsi" w:eastAsiaTheme="minorEastAsia" w:hAnsiTheme="minorHAnsi" w:cstheme="minorHAnsi"/>
          <w:sz w:val="24"/>
          <w:szCs w:val="24"/>
        </w:rPr>
        <w:t xml:space="preserve"> in its </w:t>
      </w:r>
      <w:hyperlink r:id="rId9" w:history="1">
        <w:r w:rsidRPr="00702675">
          <w:rPr>
            <w:rStyle w:val="Hyperlink"/>
            <w:rFonts w:asciiTheme="minorHAnsi" w:eastAsiaTheme="minorEastAsia" w:hAnsiTheme="minorHAnsi" w:cstheme="minorHAnsi"/>
            <w:b/>
            <w:sz w:val="24"/>
            <w:szCs w:val="24"/>
          </w:rPr>
          <w:t>52-page filing</w:t>
        </w:r>
      </w:hyperlink>
      <w:r w:rsidR="00A708B7">
        <w:rPr>
          <w:rFonts w:asciiTheme="minorHAnsi" w:eastAsiaTheme="minorEastAsia" w:hAnsiTheme="minorHAnsi" w:cstheme="minorHAnsi"/>
          <w:sz w:val="24"/>
          <w:szCs w:val="24"/>
        </w:rPr>
        <w:t xml:space="preserve"> </w:t>
      </w:r>
      <w:r w:rsidRPr="001B29CB">
        <w:rPr>
          <w:rFonts w:asciiTheme="minorHAnsi" w:eastAsiaTheme="minorEastAsia" w:hAnsiTheme="minorHAnsi" w:cstheme="minorHAnsi"/>
          <w:sz w:val="24"/>
          <w:szCs w:val="24"/>
        </w:rPr>
        <w:t>that the Alaska LNG teams analyzed Point MacKenzie, not Port Mac</w:t>
      </w:r>
      <w:r w:rsidR="00AB7547">
        <w:rPr>
          <w:rFonts w:asciiTheme="minorHAnsi" w:eastAsiaTheme="minorEastAsia" w:hAnsiTheme="minorHAnsi" w:cstheme="minorHAnsi"/>
          <w:sz w:val="24"/>
          <w:szCs w:val="24"/>
        </w:rPr>
        <w:t>K</w:t>
      </w:r>
      <w:r w:rsidRPr="001B29CB">
        <w:rPr>
          <w:rFonts w:asciiTheme="minorHAnsi" w:eastAsiaTheme="minorEastAsia" w:hAnsiTheme="minorHAnsi" w:cstheme="minorHAnsi"/>
          <w:sz w:val="24"/>
          <w:szCs w:val="24"/>
        </w:rPr>
        <w:t>enzie</w:t>
      </w:r>
      <w:r w:rsidR="007D0044" w:rsidRPr="001B29CB">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7D0044" w:rsidRPr="001B29CB">
        <w:rPr>
          <w:rFonts w:asciiTheme="minorHAnsi" w:eastAsiaTheme="minorEastAsia" w:hAnsiTheme="minorHAnsi" w:cstheme="minorHAnsi"/>
          <w:sz w:val="24"/>
          <w:szCs w:val="24"/>
        </w:rPr>
        <w:t xml:space="preserve">The borough port property </w:t>
      </w:r>
      <w:r w:rsidRPr="001B29CB">
        <w:rPr>
          <w:rFonts w:asciiTheme="minorHAnsi" w:eastAsiaTheme="minorEastAsia" w:hAnsiTheme="minorHAnsi" w:cstheme="minorHAnsi"/>
          <w:sz w:val="24"/>
          <w:szCs w:val="24"/>
        </w:rPr>
        <w:t xml:space="preserve">is </w:t>
      </w:r>
      <w:r w:rsidR="009C3CF7" w:rsidRPr="001B29CB">
        <w:rPr>
          <w:rFonts w:asciiTheme="minorHAnsi" w:eastAsiaTheme="minorEastAsia" w:hAnsiTheme="minorHAnsi" w:cstheme="minorHAnsi"/>
          <w:sz w:val="24"/>
          <w:szCs w:val="24"/>
        </w:rPr>
        <w:t>3</w:t>
      </w:r>
      <w:r w:rsidRPr="001B29CB">
        <w:rPr>
          <w:rFonts w:asciiTheme="minorHAnsi" w:eastAsiaTheme="minorEastAsia" w:hAnsiTheme="minorHAnsi" w:cstheme="minorHAnsi"/>
          <w:sz w:val="24"/>
          <w:szCs w:val="24"/>
        </w:rPr>
        <w:t xml:space="preserve"> miles </w:t>
      </w:r>
      <w:r w:rsidR="00F117FF">
        <w:rPr>
          <w:rFonts w:asciiTheme="minorHAnsi" w:eastAsiaTheme="minorEastAsia" w:hAnsiTheme="minorHAnsi" w:cstheme="minorHAnsi"/>
          <w:sz w:val="24"/>
          <w:szCs w:val="24"/>
        </w:rPr>
        <w:t>nor</w:t>
      </w:r>
      <w:r w:rsidRPr="001B29CB">
        <w:rPr>
          <w:rFonts w:asciiTheme="minorHAnsi" w:eastAsiaTheme="minorEastAsia" w:hAnsiTheme="minorHAnsi" w:cstheme="minorHAnsi"/>
          <w:sz w:val="24"/>
          <w:szCs w:val="24"/>
        </w:rPr>
        <w:t xml:space="preserve">th of Point </w:t>
      </w:r>
      <w:proofErr w:type="spellStart"/>
      <w:r w:rsidRPr="001B29CB">
        <w:rPr>
          <w:rFonts w:asciiTheme="minorHAnsi" w:eastAsiaTheme="minorEastAsia" w:hAnsiTheme="minorHAnsi" w:cstheme="minorHAnsi"/>
          <w:sz w:val="24"/>
          <w:szCs w:val="24"/>
        </w:rPr>
        <w:t>MacKenzie</w:t>
      </w:r>
      <w:proofErr w:type="spellEnd"/>
      <w:r w:rsidRPr="001B29CB">
        <w:rPr>
          <w:rFonts w:asciiTheme="minorHAnsi" w:eastAsiaTheme="minorEastAsia" w:hAnsiTheme="minorHAnsi" w:cstheme="minorHAnsi"/>
          <w:sz w:val="24"/>
          <w:szCs w:val="24"/>
        </w:rPr>
        <w:t xml:space="preserve"> on the </w:t>
      </w:r>
      <w:r w:rsidR="00AF0431">
        <w:rPr>
          <w:rFonts w:asciiTheme="minorHAnsi" w:eastAsiaTheme="minorEastAsia" w:hAnsiTheme="minorHAnsi" w:cstheme="minorHAnsi"/>
          <w:sz w:val="24"/>
          <w:szCs w:val="24"/>
        </w:rPr>
        <w:t>south</w:t>
      </w:r>
      <w:r w:rsidRPr="001B29CB">
        <w:rPr>
          <w:rFonts w:asciiTheme="minorHAnsi" w:eastAsiaTheme="minorEastAsia" w:hAnsiTheme="minorHAnsi" w:cstheme="minorHAnsi"/>
          <w:sz w:val="24"/>
          <w:szCs w:val="24"/>
        </w:rPr>
        <w:t xml:space="preserve">eastern </w:t>
      </w:r>
      <w:r w:rsidR="00AF0431">
        <w:rPr>
          <w:rFonts w:asciiTheme="minorHAnsi" w:eastAsiaTheme="minorEastAsia" w:hAnsiTheme="minorHAnsi" w:cstheme="minorHAnsi"/>
          <w:sz w:val="24"/>
          <w:szCs w:val="24"/>
        </w:rPr>
        <w:t>edge</w:t>
      </w:r>
      <w:r w:rsidRPr="001B29CB">
        <w:rPr>
          <w:rFonts w:asciiTheme="minorHAnsi" w:eastAsiaTheme="minorEastAsia" w:hAnsiTheme="minorHAnsi" w:cstheme="minorHAnsi"/>
          <w:sz w:val="24"/>
          <w:szCs w:val="24"/>
        </w:rPr>
        <w:t xml:space="preserve"> of the Matanuska-Susitna Borough across Knik Arm from Anchorage.</w:t>
      </w:r>
      <w:r w:rsidR="00F91D7E" w:rsidRPr="001B29CB">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F91D7E" w:rsidRPr="001B29CB">
        <w:rPr>
          <w:rFonts w:asciiTheme="minorHAnsi" w:eastAsiaTheme="minorEastAsia" w:hAnsiTheme="minorHAnsi" w:cstheme="minorHAnsi"/>
          <w:sz w:val="24"/>
          <w:szCs w:val="24"/>
        </w:rPr>
        <w:t xml:space="preserve">The borough </w:t>
      </w:r>
      <w:r w:rsidR="004D54FC" w:rsidRPr="001B29CB">
        <w:rPr>
          <w:rFonts w:asciiTheme="minorHAnsi" w:eastAsiaTheme="minorEastAsia" w:hAnsiTheme="minorHAnsi" w:cstheme="minorHAnsi"/>
          <w:sz w:val="24"/>
          <w:szCs w:val="24"/>
        </w:rPr>
        <w:t>sa</w:t>
      </w:r>
      <w:r w:rsidR="00BB280F">
        <w:rPr>
          <w:rFonts w:asciiTheme="minorHAnsi" w:eastAsiaTheme="minorEastAsia" w:hAnsiTheme="minorHAnsi" w:cstheme="minorHAnsi"/>
          <w:sz w:val="24"/>
          <w:szCs w:val="24"/>
        </w:rPr>
        <w:t>id</w:t>
      </w:r>
      <w:r w:rsidR="00F91D7E" w:rsidRPr="001B29CB">
        <w:rPr>
          <w:rFonts w:asciiTheme="minorHAnsi" w:eastAsiaTheme="minorEastAsia" w:hAnsiTheme="minorHAnsi" w:cstheme="minorHAnsi"/>
          <w:sz w:val="24"/>
          <w:szCs w:val="24"/>
        </w:rPr>
        <w:t xml:space="preserve"> the port site</w:t>
      </w:r>
      <w:r w:rsidR="004D54FC" w:rsidRPr="001B29CB">
        <w:rPr>
          <w:rFonts w:asciiTheme="minorHAnsi" w:eastAsiaTheme="minorEastAsia" w:hAnsiTheme="minorHAnsi" w:cstheme="minorHAnsi"/>
          <w:sz w:val="24"/>
          <w:szCs w:val="24"/>
        </w:rPr>
        <w:t xml:space="preserve"> with deeper water and more developable land</w:t>
      </w:r>
      <w:r w:rsidR="00F91D7E" w:rsidRPr="001B29CB">
        <w:rPr>
          <w:rFonts w:asciiTheme="minorHAnsi" w:eastAsiaTheme="minorEastAsia" w:hAnsiTheme="minorHAnsi" w:cstheme="minorHAnsi"/>
          <w:sz w:val="24"/>
          <w:szCs w:val="24"/>
        </w:rPr>
        <w:t xml:space="preserve"> is far superior to Point MacKenzie.</w:t>
      </w:r>
    </w:p>
    <w:p w:rsidR="007D0044" w:rsidRPr="001B29CB" w:rsidRDefault="007D0044" w:rsidP="001B29CB">
      <w:pPr>
        <w:spacing w:after="0"/>
        <w:rPr>
          <w:rFonts w:asciiTheme="minorHAnsi" w:eastAsiaTheme="minorEastAsia" w:hAnsiTheme="minorHAnsi" w:cstheme="minorHAnsi"/>
          <w:sz w:val="24"/>
          <w:szCs w:val="24"/>
        </w:rPr>
      </w:pPr>
    </w:p>
    <w:p w:rsidR="00A708B7" w:rsidRPr="001B29CB" w:rsidRDefault="00A708B7" w:rsidP="00A708B7">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The Mat-Su Borough include</w:t>
      </w:r>
      <w:r w:rsidR="00CE751D">
        <w:rPr>
          <w:rFonts w:asciiTheme="minorHAnsi" w:eastAsiaTheme="minorEastAsia" w:hAnsiTheme="minorHAnsi" w:cstheme="minorHAnsi"/>
          <w:sz w:val="24"/>
          <w:szCs w:val="24"/>
        </w:rPr>
        <w:t>d</w:t>
      </w:r>
      <w:r w:rsidRPr="001B29CB">
        <w:rPr>
          <w:rFonts w:asciiTheme="minorHAnsi" w:eastAsiaTheme="minorEastAsia" w:hAnsiTheme="minorHAnsi" w:cstheme="minorHAnsi"/>
          <w:sz w:val="24"/>
          <w:szCs w:val="24"/>
        </w:rPr>
        <w:t xml:space="preserve"> with its filing to FERC a December 2017 report </w:t>
      </w:r>
      <w:r w:rsidR="00AF0431">
        <w:rPr>
          <w:rFonts w:asciiTheme="minorHAnsi" w:eastAsiaTheme="minorEastAsia" w:hAnsiTheme="minorHAnsi" w:cstheme="minorHAnsi"/>
          <w:sz w:val="24"/>
          <w:szCs w:val="24"/>
        </w:rPr>
        <w:t xml:space="preserve">it commissioned </w:t>
      </w:r>
      <w:r w:rsidRPr="001B29CB">
        <w:rPr>
          <w:rFonts w:asciiTheme="minorHAnsi" w:eastAsiaTheme="minorEastAsia" w:hAnsiTheme="minorHAnsi" w:cstheme="minorHAnsi"/>
          <w:sz w:val="24"/>
          <w:szCs w:val="24"/>
        </w:rPr>
        <w:t>by Millcreek Engineering Co., of Salt Lake City.</w:t>
      </w:r>
      <w:r w:rsidR="00307E50">
        <w:rPr>
          <w:rFonts w:asciiTheme="minorHAnsi" w:eastAsiaTheme="minorEastAsia" w:hAnsiTheme="minorHAnsi" w:cstheme="minorHAnsi"/>
          <w:sz w:val="24"/>
          <w:szCs w:val="24"/>
        </w:rPr>
        <w:t xml:space="preserve"> </w:t>
      </w:r>
      <w:r w:rsidRPr="001B29CB">
        <w:rPr>
          <w:rFonts w:asciiTheme="minorHAnsi" w:eastAsiaTheme="minorEastAsia" w:hAnsiTheme="minorHAnsi" w:cstheme="minorHAnsi"/>
          <w:sz w:val="24"/>
          <w:szCs w:val="24"/>
        </w:rPr>
        <w:t xml:space="preserve"> “Based on this review,” the company’s report said, “it is our recommendation that Port Mackenzie be considered as a viable and possible preferred site.”</w:t>
      </w:r>
      <w:r w:rsidR="00307E50">
        <w:rPr>
          <w:rFonts w:asciiTheme="minorHAnsi" w:eastAsiaTheme="minorEastAsia" w:hAnsiTheme="minorHAnsi" w:cstheme="minorHAnsi"/>
          <w:sz w:val="24"/>
          <w:szCs w:val="24"/>
        </w:rPr>
        <w:t xml:space="preserve"> </w:t>
      </w:r>
      <w:r w:rsidR="00AF0431">
        <w:rPr>
          <w:rFonts w:asciiTheme="minorHAnsi" w:eastAsiaTheme="minorEastAsia" w:hAnsiTheme="minorHAnsi" w:cstheme="minorHAnsi"/>
          <w:sz w:val="24"/>
          <w:szCs w:val="24"/>
        </w:rPr>
        <w:t xml:space="preserve"> Millcreek also worked on a 2016 update of the borough’s master plan for Port MacKenzie.</w:t>
      </w:r>
    </w:p>
    <w:p w:rsidR="00A708B7" w:rsidRPr="001B29CB" w:rsidRDefault="00A708B7" w:rsidP="00A708B7">
      <w:pPr>
        <w:spacing w:after="0"/>
        <w:rPr>
          <w:rFonts w:asciiTheme="minorHAnsi" w:eastAsiaTheme="minorEastAsia" w:hAnsiTheme="minorHAnsi" w:cstheme="minorHAnsi"/>
          <w:sz w:val="24"/>
          <w:szCs w:val="24"/>
        </w:rPr>
      </w:pPr>
    </w:p>
    <w:p w:rsidR="00AF0431" w:rsidRPr="00AF0431" w:rsidRDefault="00AF0431" w:rsidP="001B29CB">
      <w:pPr>
        <w:spacing w:after="0"/>
        <w:rPr>
          <w:rFonts w:asciiTheme="minorHAnsi" w:eastAsiaTheme="minorEastAsia" w:hAnsiTheme="minorHAnsi" w:cstheme="minorHAnsi"/>
          <w:b/>
          <w:sz w:val="24"/>
          <w:szCs w:val="24"/>
        </w:rPr>
      </w:pPr>
      <w:r w:rsidRPr="00AF0431">
        <w:rPr>
          <w:rFonts w:asciiTheme="minorHAnsi" w:eastAsiaTheme="minorEastAsia" w:hAnsiTheme="minorHAnsi" w:cstheme="minorHAnsi"/>
          <w:b/>
          <w:sz w:val="24"/>
          <w:szCs w:val="24"/>
        </w:rPr>
        <w:t>ALASKA LNG SELECTED NIKISKI IN 2013</w:t>
      </w:r>
    </w:p>
    <w:p w:rsidR="00AF0431" w:rsidRDefault="00AF0431" w:rsidP="001B29CB">
      <w:pPr>
        <w:spacing w:after="0"/>
        <w:rPr>
          <w:rFonts w:asciiTheme="minorHAnsi" w:eastAsiaTheme="minorEastAsia" w:hAnsiTheme="minorHAnsi" w:cstheme="minorHAnsi"/>
          <w:sz w:val="24"/>
          <w:szCs w:val="24"/>
        </w:rPr>
      </w:pPr>
    </w:p>
    <w:p w:rsidR="007D0044" w:rsidRPr="001B29CB" w:rsidRDefault="007D0044" w:rsidP="001B29CB">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 xml:space="preserve">The Alaska LNG team </w:t>
      </w:r>
      <w:r w:rsidR="00F91D7E" w:rsidRPr="001B29CB">
        <w:rPr>
          <w:rFonts w:asciiTheme="minorHAnsi" w:eastAsiaTheme="minorEastAsia" w:hAnsiTheme="minorHAnsi" w:cstheme="minorHAnsi"/>
          <w:sz w:val="24"/>
          <w:szCs w:val="24"/>
        </w:rPr>
        <w:t xml:space="preserve">in October 2013 </w:t>
      </w:r>
      <w:r w:rsidRPr="001B29CB">
        <w:rPr>
          <w:rFonts w:asciiTheme="minorHAnsi" w:eastAsiaTheme="minorEastAsia" w:hAnsiTheme="minorHAnsi" w:cstheme="minorHAnsi"/>
          <w:sz w:val="24"/>
          <w:szCs w:val="24"/>
        </w:rPr>
        <w:t xml:space="preserve">identified Nikiski, on the Kenai Peninsula about 64 </w:t>
      </w:r>
      <w:r w:rsidR="00BB280F">
        <w:rPr>
          <w:rFonts w:asciiTheme="minorHAnsi" w:eastAsiaTheme="minorEastAsia" w:hAnsiTheme="minorHAnsi" w:cstheme="minorHAnsi"/>
          <w:sz w:val="24"/>
          <w:szCs w:val="24"/>
        </w:rPr>
        <w:t xml:space="preserve">miles </w:t>
      </w:r>
      <w:r w:rsidRPr="001B29CB">
        <w:rPr>
          <w:rFonts w:asciiTheme="minorHAnsi" w:eastAsiaTheme="minorEastAsia" w:hAnsiTheme="minorHAnsi" w:cstheme="minorHAnsi"/>
          <w:sz w:val="24"/>
          <w:szCs w:val="24"/>
        </w:rPr>
        <w:t xml:space="preserve">southwest of Port MacKenzie, as its preferred site for the natural gas liquefaction plant and marine terminal that would be constructed as part of the </w:t>
      </w:r>
      <w:r w:rsidR="00BB280F">
        <w:rPr>
          <w:rFonts w:asciiTheme="minorHAnsi" w:eastAsiaTheme="minorEastAsia" w:hAnsiTheme="minorHAnsi" w:cstheme="minorHAnsi"/>
          <w:sz w:val="24"/>
          <w:szCs w:val="24"/>
        </w:rPr>
        <w:t>proposal</w:t>
      </w:r>
      <w:r w:rsidRPr="001B29CB">
        <w:rPr>
          <w:rFonts w:asciiTheme="minorHAnsi" w:eastAsiaTheme="minorEastAsia" w:hAnsiTheme="minorHAnsi" w:cstheme="minorHAnsi"/>
          <w:sz w:val="24"/>
          <w:szCs w:val="24"/>
        </w:rPr>
        <w:t xml:space="preserve"> to move North Slope gas more than 800 miles through the state to an LNG plant for export.</w:t>
      </w:r>
    </w:p>
    <w:p w:rsidR="007D0044" w:rsidRPr="001B29CB" w:rsidRDefault="007D0044" w:rsidP="001B29CB">
      <w:pPr>
        <w:spacing w:after="0"/>
        <w:rPr>
          <w:rFonts w:asciiTheme="minorHAnsi" w:eastAsiaTheme="minorEastAsia" w:hAnsiTheme="minorHAnsi" w:cstheme="minorHAnsi"/>
          <w:sz w:val="24"/>
          <w:szCs w:val="24"/>
        </w:rPr>
      </w:pPr>
    </w:p>
    <w:p w:rsidR="004D54FC" w:rsidRPr="001B29CB" w:rsidRDefault="004D54FC" w:rsidP="001B29CB">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 xml:space="preserve">Nikiski </w:t>
      </w:r>
      <w:r w:rsidR="0058092F">
        <w:rPr>
          <w:rFonts w:asciiTheme="minorHAnsi" w:eastAsiaTheme="minorEastAsia" w:hAnsiTheme="minorHAnsi" w:cstheme="minorHAnsi"/>
          <w:sz w:val="24"/>
          <w:szCs w:val="24"/>
        </w:rPr>
        <w:t xml:space="preserve">also </w:t>
      </w:r>
      <w:r w:rsidRPr="001B29CB">
        <w:rPr>
          <w:rFonts w:asciiTheme="minorHAnsi" w:eastAsiaTheme="minorEastAsia" w:hAnsiTheme="minorHAnsi" w:cstheme="minorHAnsi"/>
          <w:sz w:val="24"/>
          <w:szCs w:val="24"/>
        </w:rPr>
        <w:t xml:space="preserve">was the preferred site of an earlier, unsuccessful LNG venture in Alaska. </w:t>
      </w:r>
      <w:r w:rsidR="00257A31">
        <w:rPr>
          <w:rFonts w:asciiTheme="minorHAnsi" w:eastAsiaTheme="minorEastAsia" w:hAnsiTheme="minorHAnsi" w:cstheme="minorHAnsi"/>
          <w:sz w:val="24"/>
          <w:szCs w:val="24"/>
        </w:rPr>
        <w:t xml:space="preserve"> </w:t>
      </w:r>
      <w:r w:rsidRPr="001B29CB">
        <w:rPr>
          <w:rFonts w:asciiTheme="minorHAnsi" w:eastAsiaTheme="minorEastAsia" w:hAnsiTheme="minorHAnsi" w:cstheme="minorHAnsi"/>
          <w:sz w:val="24"/>
          <w:szCs w:val="24"/>
        </w:rPr>
        <w:t xml:space="preserve">FERC in 1978 issued a </w:t>
      </w:r>
      <w:hyperlink r:id="rId10" w:history="1">
        <w:r w:rsidRPr="00647A1E">
          <w:rPr>
            <w:rStyle w:val="Hyperlink"/>
            <w:rFonts w:asciiTheme="minorHAnsi" w:eastAsiaTheme="minorEastAsia" w:hAnsiTheme="minorHAnsi" w:cstheme="minorHAnsi"/>
            <w:b/>
            <w:sz w:val="24"/>
            <w:szCs w:val="24"/>
          </w:rPr>
          <w:t xml:space="preserve">final environmental </w:t>
        </w:r>
        <w:r w:rsidR="00BB280F">
          <w:rPr>
            <w:rStyle w:val="Hyperlink"/>
            <w:rFonts w:asciiTheme="minorHAnsi" w:eastAsiaTheme="minorEastAsia" w:hAnsiTheme="minorHAnsi" w:cstheme="minorHAnsi"/>
            <w:b/>
            <w:sz w:val="24"/>
            <w:szCs w:val="24"/>
          </w:rPr>
          <w:t xml:space="preserve">impact </w:t>
        </w:r>
        <w:r w:rsidRPr="00647A1E">
          <w:rPr>
            <w:rStyle w:val="Hyperlink"/>
            <w:rFonts w:asciiTheme="minorHAnsi" w:eastAsiaTheme="minorEastAsia" w:hAnsiTheme="minorHAnsi" w:cstheme="minorHAnsi"/>
            <w:b/>
            <w:sz w:val="24"/>
            <w:szCs w:val="24"/>
          </w:rPr>
          <w:t>statement for the Western LNG project</w:t>
        </w:r>
      </w:hyperlink>
      <w:r w:rsidRPr="001B29CB">
        <w:rPr>
          <w:rFonts w:asciiTheme="minorHAnsi" w:eastAsiaTheme="minorEastAsia" w:hAnsiTheme="minorHAnsi" w:cstheme="minorHAnsi"/>
          <w:sz w:val="24"/>
          <w:szCs w:val="24"/>
        </w:rPr>
        <w:t xml:space="preserve">, a partnership of two California utilities. </w:t>
      </w:r>
      <w:r w:rsidR="00307E50">
        <w:rPr>
          <w:rFonts w:asciiTheme="minorHAnsi" w:eastAsiaTheme="minorEastAsia" w:hAnsiTheme="minorHAnsi" w:cstheme="minorHAnsi"/>
          <w:sz w:val="24"/>
          <w:szCs w:val="24"/>
        </w:rPr>
        <w:t xml:space="preserve"> </w:t>
      </w:r>
      <w:r w:rsidR="0058092F">
        <w:rPr>
          <w:rFonts w:asciiTheme="minorHAnsi" w:eastAsiaTheme="minorEastAsia" w:hAnsiTheme="minorHAnsi" w:cstheme="minorHAnsi"/>
          <w:sz w:val="24"/>
          <w:szCs w:val="24"/>
        </w:rPr>
        <w:t xml:space="preserve">Then in 1995, </w:t>
      </w:r>
      <w:hyperlink r:id="rId11" w:history="1">
        <w:r w:rsidR="0058092F" w:rsidRPr="0058092F">
          <w:rPr>
            <w:rStyle w:val="Hyperlink"/>
            <w:rFonts w:asciiTheme="minorHAnsi" w:eastAsiaTheme="minorEastAsia" w:hAnsiTheme="minorHAnsi" w:cstheme="minorHAnsi"/>
            <w:b/>
            <w:sz w:val="24"/>
            <w:szCs w:val="24"/>
          </w:rPr>
          <w:t xml:space="preserve">FERC issued a final environmental impact </w:t>
        </w:r>
        <w:r w:rsidR="0058092F" w:rsidRPr="0058092F">
          <w:rPr>
            <w:rStyle w:val="Hyperlink"/>
            <w:rFonts w:asciiTheme="minorHAnsi" w:eastAsiaTheme="minorEastAsia" w:hAnsiTheme="minorHAnsi" w:cstheme="minorHAnsi"/>
            <w:b/>
            <w:sz w:val="24"/>
            <w:szCs w:val="24"/>
          </w:rPr>
          <w:lastRenderedPageBreak/>
          <w:t>statement</w:t>
        </w:r>
      </w:hyperlink>
      <w:r w:rsidR="0058092F">
        <w:rPr>
          <w:rFonts w:asciiTheme="minorHAnsi" w:eastAsiaTheme="minorEastAsia" w:hAnsiTheme="minorHAnsi" w:cstheme="minorHAnsi"/>
          <w:sz w:val="24"/>
          <w:szCs w:val="24"/>
        </w:rPr>
        <w:t xml:space="preserve"> in support of an LNG project in Valdez, proposed by a company called Yukon Pacific</w:t>
      </w:r>
      <w:r w:rsidR="00BB280F">
        <w:rPr>
          <w:rFonts w:asciiTheme="minorHAnsi" w:eastAsiaTheme="minorEastAsia" w:hAnsiTheme="minorHAnsi" w:cstheme="minorHAnsi"/>
          <w:sz w:val="24"/>
          <w:szCs w:val="24"/>
        </w:rPr>
        <w:t xml:space="preserve"> and later dropped</w:t>
      </w:r>
      <w:r w:rsidR="0058092F">
        <w:rPr>
          <w:rFonts w:asciiTheme="minorHAnsi" w:eastAsiaTheme="minorEastAsia" w:hAnsiTheme="minorHAnsi" w:cstheme="minorHAnsi"/>
          <w:sz w:val="24"/>
          <w:szCs w:val="24"/>
        </w:rPr>
        <w:t>.</w:t>
      </w:r>
      <w:r w:rsidR="00307E50">
        <w:rPr>
          <w:rFonts w:asciiTheme="minorHAnsi" w:eastAsiaTheme="minorEastAsia" w:hAnsiTheme="minorHAnsi" w:cstheme="minorHAnsi"/>
          <w:sz w:val="24"/>
          <w:szCs w:val="24"/>
        </w:rPr>
        <w:t xml:space="preserve"> </w:t>
      </w:r>
      <w:r w:rsidR="00DD6541" w:rsidRPr="001B29CB">
        <w:rPr>
          <w:rFonts w:asciiTheme="minorHAnsi" w:eastAsiaTheme="minorEastAsia" w:hAnsiTheme="minorHAnsi" w:cstheme="minorHAnsi"/>
          <w:sz w:val="24"/>
          <w:szCs w:val="24"/>
        </w:rPr>
        <w:t xml:space="preserve"> No developer has ever applied to FERC for a gas liquefaction plant </w:t>
      </w:r>
      <w:r w:rsidR="00CE751D">
        <w:rPr>
          <w:rFonts w:asciiTheme="minorHAnsi" w:eastAsiaTheme="minorEastAsia" w:hAnsiTheme="minorHAnsi" w:cstheme="minorHAnsi"/>
          <w:sz w:val="24"/>
          <w:szCs w:val="24"/>
        </w:rPr>
        <w:t>at</w:t>
      </w:r>
      <w:r w:rsidR="00DD6541" w:rsidRPr="001B29CB">
        <w:rPr>
          <w:rFonts w:asciiTheme="minorHAnsi" w:eastAsiaTheme="minorEastAsia" w:hAnsiTheme="minorHAnsi" w:cstheme="minorHAnsi"/>
          <w:sz w:val="24"/>
          <w:szCs w:val="24"/>
        </w:rPr>
        <w:t xml:space="preserve"> Port or Point MacKenzie.</w:t>
      </w:r>
    </w:p>
    <w:p w:rsidR="004D54FC" w:rsidRPr="001B29CB" w:rsidRDefault="004D54FC" w:rsidP="001B29CB">
      <w:pPr>
        <w:spacing w:after="0"/>
        <w:rPr>
          <w:rFonts w:asciiTheme="minorHAnsi" w:eastAsiaTheme="minorEastAsia" w:hAnsiTheme="minorHAnsi" w:cstheme="minorHAnsi"/>
          <w:sz w:val="24"/>
          <w:szCs w:val="24"/>
        </w:rPr>
      </w:pPr>
    </w:p>
    <w:p w:rsidR="007D0044" w:rsidRPr="001B29CB" w:rsidRDefault="007D0044" w:rsidP="001B29CB">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About 180 miles of the</w:t>
      </w:r>
      <w:r w:rsidR="00CE751D">
        <w:rPr>
          <w:rFonts w:asciiTheme="minorHAnsi" w:eastAsiaTheme="minorEastAsia" w:hAnsiTheme="minorHAnsi" w:cstheme="minorHAnsi"/>
          <w:sz w:val="24"/>
          <w:szCs w:val="24"/>
        </w:rPr>
        <w:t xml:space="preserve"> </w:t>
      </w:r>
      <w:r w:rsidR="00AF0431">
        <w:rPr>
          <w:rFonts w:asciiTheme="minorHAnsi" w:eastAsiaTheme="minorEastAsia" w:hAnsiTheme="minorHAnsi" w:cstheme="minorHAnsi"/>
          <w:sz w:val="24"/>
          <w:szCs w:val="24"/>
        </w:rPr>
        <w:t xml:space="preserve">Alaska LNG </w:t>
      </w:r>
      <w:r w:rsidR="00CE751D">
        <w:rPr>
          <w:rFonts w:asciiTheme="minorHAnsi" w:eastAsiaTheme="minorEastAsia" w:hAnsiTheme="minorHAnsi" w:cstheme="minorHAnsi"/>
          <w:sz w:val="24"/>
          <w:szCs w:val="24"/>
        </w:rPr>
        <w:t>project’s</w:t>
      </w:r>
      <w:r w:rsidRPr="001B29CB">
        <w:rPr>
          <w:rFonts w:asciiTheme="minorHAnsi" w:eastAsiaTheme="minorEastAsia" w:hAnsiTheme="minorHAnsi" w:cstheme="minorHAnsi"/>
          <w:sz w:val="24"/>
          <w:szCs w:val="24"/>
        </w:rPr>
        <w:t xml:space="preserve"> </w:t>
      </w:r>
      <w:r w:rsidR="00A806F4">
        <w:rPr>
          <w:rFonts w:asciiTheme="minorHAnsi" w:eastAsiaTheme="minorEastAsia" w:hAnsiTheme="minorHAnsi" w:cstheme="minorHAnsi"/>
          <w:sz w:val="24"/>
          <w:szCs w:val="24"/>
        </w:rPr>
        <w:t xml:space="preserve">807-mile </w:t>
      </w:r>
      <w:r w:rsidR="00CE751D">
        <w:rPr>
          <w:rFonts w:asciiTheme="minorHAnsi" w:eastAsiaTheme="minorEastAsia" w:hAnsiTheme="minorHAnsi" w:cstheme="minorHAnsi"/>
          <w:sz w:val="24"/>
          <w:szCs w:val="24"/>
        </w:rPr>
        <w:t>natural gas</w:t>
      </w:r>
      <w:r w:rsidRPr="001B29CB">
        <w:rPr>
          <w:rFonts w:asciiTheme="minorHAnsi" w:eastAsiaTheme="minorEastAsia" w:hAnsiTheme="minorHAnsi" w:cstheme="minorHAnsi"/>
          <w:sz w:val="24"/>
          <w:szCs w:val="24"/>
        </w:rPr>
        <w:t xml:space="preserve"> pipeline </w:t>
      </w:r>
      <w:r w:rsidR="00CE751D">
        <w:rPr>
          <w:rFonts w:asciiTheme="minorHAnsi" w:eastAsiaTheme="minorEastAsia" w:hAnsiTheme="minorHAnsi" w:cstheme="minorHAnsi"/>
          <w:sz w:val="24"/>
          <w:szCs w:val="24"/>
        </w:rPr>
        <w:t xml:space="preserve">south from Prudhoe Bay </w:t>
      </w:r>
      <w:r w:rsidRPr="001B29CB">
        <w:rPr>
          <w:rFonts w:asciiTheme="minorHAnsi" w:eastAsiaTheme="minorEastAsia" w:hAnsiTheme="minorHAnsi" w:cstheme="minorHAnsi"/>
          <w:sz w:val="24"/>
          <w:szCs w:val="24"/>
        </w:rPr>
        <w:t>would be laid in the Matanuska-Susitna Borough on the route to Cook Inlet</w:t>
      </w:r>
      <w:r w:rsidR="00CE751D">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CE751D">
        <w:rPr>
          <w:rFonts w:asciiTheme="minorHAnsi" w:eastAsiaTheme="minorEastAsia" w:hAnsiTheme="minorHAnsi" w:cstheme="minorHAnsi"/>
          <w:sz w:val="24"/>
          <w:szCs w:val="24"/>
        </w:rPr>
        <w:t>T</w:t>
      </w:r>
      <w:r w:rsidR="00F91D7E" w:rsidRPr="001B29CB">
        <w:rPr>
          <w:rFonts w:asciiTheme="minorHAnsi" w:eastAsiaTheme="minorEastAsia" w:hAnsiTheme="minorHAnsi" w:cstheme="minorHAnsi"/>
          <w:sz w:val="24"/>
          <w:szCs w:val="24"/>
        </w:rPr>
        <w:t xml:space="preserve">he project’s preferred routing would stay </w:t>
      </w:r>
      <w:r w:rsidR="00997A8F" w:rsidRPr="001B29CB">
        <w:rPr>
          <w:rFonts w:asciiTheme="minorHAnsi" w:eastAsiaTheme="minorEastAsia" w:hAnsiTheme="minorHAnsi" w:cstheme="minorHAnsi"/>
          <w:sz w:val="24"/>
          <w:szCs w:val="24"/>
        </w:rPr>
        <w:t xml:space="preserve">more than 30 miles </w:t>
      </w:r>
      <w:r w:rsidR="00F91D7E" w:rsidRPr="001B29CB">
        <w:rPr>
          <w:rFonts w:asciiTheme="minorHAnsi" w:eastAsiaTheme="minorEastAsia" w:hAnsiTheme="minorHAnsi" w:cstheme="minorHAnsi"/>
          <w:sz w:val="24"/>
          <w:szCs w:val="24"/>
        </w:rPr>
        <w:t xml:space="preserve">west of the </w:t>
      </w:r>
      <w:r w:rsidR="00AF0431">
        <w:rPr>
          <w:rFonts w:asciiTheme="minorHAnsi" w:eastAsiaTheme="minorEastAsia" w:hAnsiTheme="minorHAnsi" w:cstheme="minorHAnsi"/>
          <w:sz w:val="24"/>
          <w:szCs w:val="24"/>
        </w:rPr>
        <w:t xml:space="preserve">underused </w:t>
      </w:r>
      <w:r w:rsidR="00BB280F">
        <w:rPr>
          <w:rFonts w:asciiTheme="minorHAnsi" w:eastAsiaTheme="minorEastAsia" w:hAnsiTheme="minorHAnsi" w:cstheme="minorHAnsi"/>
          <w:sz w:val="24"/>
          <w:szCs w:val="24"/>
        </w:rPr>
        <w:t>P</w:t>
      </w:r>
      <w:r w:rsidR="00F91D7E" w:rsidRPr="001B29CB">
        <w:rPr>
          <w:rFonts w:asciiTheme="minorHAnsi" w:eastAsiaTheme="minorEastAsia" w:hAnsiTheme="minorHAnsi" w:cstheme="minorHAnsi"/>
          <w:sz w:val="24"/>
          <w:szCs w:val="24"/>
        </w:rPr>
        <w:t>ort</w:t>
      </w:r>
      <w:r w:rsidR="00BB280F">
        <w:rPr>
          <w:rFonts w:asciiTheme="minorHAnsi" w:eastAsiaTheme="minorEastAsia" w:hAnsiTheme="minorHAnsi" w:cstheme="minorHAnsi"/>
          <w:sz w:val="24"/>
          <w:szCs w:val="24"/>
        </w:rPr>
        <w:t xml:space="preserve"> MacKenzie</w:t>
      </w:r>
      <w:r w:rsidR="00AF0431">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AF0431">
        <w:rPr>
          <w:rFonts w:asciiTheme="minorHAnsi" w:eastAsiaTheme="minorEastAsia" w:hAnsiTheme="minorHAnsi" w:cstheme="minorHAnsi"/>
          <w:sz w:val="24"/>
          <w:szCs w:val="24"/>
        </w:rPr>
        <w:t xml:space="preserve">That has been </w:t>
      </w:r>
      <w:r w:rsidR="00F91D7E" w:rsidRPr="001B29CB">
        <w:rPr>
          <w:rFonts w:asciiTheme="minorHAnsi" w:eastAsiaTheme="minorEastAsia" w:hAnsiTheme="minorHAnsi" w:cstheme="minorHAnsi"/>
          <w:sz w:val="24"/>
          <w:szCs w:val="24"/>
        </w:rPr>
        <w:t xml:space="preserve">a point of contention for the </w:t>
      </w:r>
      <w:r w:rsidR="002149C5" w:rsidRPr="001B29CB">
        <w:rPr>
          <w:rFonts w:asciiTheme="minorHAnsi" w:eastAsiaTheme="minorEastAsia" w:hAnsiTheme="minorHAnsi" w:cstheme="minorHAnsi"/>
          <w:sz w:val="24"/>
          <w:szCs w:val="24"/>
        </w:rPr>
        <w:t>borough</w:t>
      </w:r>
      <w:r w:rsidR="00AF0431">
        <w:rPr>
          <w:rFonts w:asciiTheme="minorHAnsi" w:eastAsiaTheme="minorEastAsia" w:hAnsiTheme="minorHAnsi" w:cstheme="minorHAnsi"/>
          <w:sz w:val="24"/>
          <w:szCs w:val="24"/>
        </w:rPr>
        <w:t>, which</w:t>
      </w:r>
      <w:r w:rsidR="00F91D7E" w:rsidRPr="001B29CB">
        <w:rPr>
          <w:rFonts w:asciiTheme="minorHAnsi" w:eastAsiaTheme="minorEastAsia" w:hAnsiTheme="minorHAnsi" w:cstheme="minorHAnsi"/>
          <w:sz w:val="24"/>
          <w:szCs w:val="24"/>
        </w:rPr>
        <w:t xml:space="preserve"> </w:t>
      </w:r>
      <w:r w:rsidR="002149C5" w:rsidRPr="001B29CB">
        <w:rPr>
          <w:rFonts w:asciiTheme="minorHAnsi" w:eastAsiaTheme="minorEastAsia" w:hAnsiTheme="minorHAnsi" w:cstheme="minorHAnsi"/>
          <w:sz w:val="24"/>
          <w:szCs w:val="24"/>
        </w:rPr>
        <w:t xml:space="preserve">has long advocated for industrial development at </w:t>
      </w:r>
      <w:r w:rsidR="00BB280F">
        <w:rPr>
          <w:rFonts w:asciiTheme="minorHAnsi" w:eastAsiaTheme="minorEastAsia" w:hAnsiTheme="minorHAnsi" w:cstheme="minorHAnsi"/>
          <w:sz w:val="24"/>
          <w:szCs w:val="24"/>
        </w:rPr>
        <w:t>the p</w:t>
      </w:r>
      <w:r w:rsidR="002149C5" w:rsidRPr="001B29CB">
        <w:rPr>
          <w:rFonts w:asciiTheme="minorHAnsi" w:eastAsiaTheme="minorEastAsia" w:hAnsiTheme="minorHAnsi" w:cstheme="minorHAnsi"/>
          <w:sz w:val="24"/>
          <w:szCs w:val="24"/>
        </w:rPr>
        <w:t xml:space="preserve">ort, including past efforts to encourage </w:t>
      </w:r>
      <w:r w:rsidR="003C1997" w:rsidRPr="001B29CB">
        <w:rPr>
          <w:rFonts w:asciiTheme="minorHAnsi" w:eastAsiaTheme="minorEastAsia" w:hAnsiTheme="minorHAnsi" w:cstheme="minorHAnsi"/>
          <w:sz w:val="24"/>
          <w:szCs w:val="24"/>
        </w:rPr>
        <w:t xml:space="preserve">construction of a </w:t>
      </w:r>
      <w:r w:rsidR="00BB280F">
        <w:rPr>
          <w:rFonts w:asciiTheme="minorHAnsi" w:eastAsiaTheme="minorEastAsia" w:hAnsiTheme="minorHAnsi" w:cstheme="minorHAnsi"/>
          <w:sz w:val="24"/>
          <w:szCs w:val="24"/>
        </w:rPr>
        <w:t xml:space="preserve">gas </w:t>
      </w:r>
      <w:r w:rsidR="003C1997" w:rsidRPr="001B29CB">
        <w:rPr>
          <w:rFonts w:asciiTheme="minorHAnsi" w:eastAsiaTheme="minorEastAsia" w:hAnsiTheme="minorHAnsi" w:cstheme="minorHAnsi"/>
          <w:sz w:val="24"/>
          <w:szCs w:val="24"/>
        </w:rPr>
        <w:t xml:space="preserve">liquefaction plant at the site. </w:t>
      </w:r>
      <w:r w:rsidR="00307E50">
        <w:rPr>
          <w:rFonts w:asciiTheme="minorHAnsi" w:eastAsiaTheme="minorEastAsia" w:hAnsiTheme="minorHAnsi" w:cstheme="minorHAnsi"/>
          <w:sz w:val="24"/>
          <w:szCs w:val="24"/>
        </w:rPr>
        <w:t xml:space="preserve"> </w:t>
      </w:r>
      <w:r w:rsidR="003C1997" w:rsidRPr="001B29CB">
        <w:rPr>
          <w:rFonts w:asciiTheme="minorHAnsi" w:eastAsiaTheme="minorEastAsia" w:hAnsiTheme="minorHAnsi" w:cstheme="minorHAnsi"/>
          <w:sz w:val="24"/>
          <w:szCs w:val="24"/>
        </w:rPr>
        <w:t>The port includes a dock and 1,000 acres that could be developed as an LNG plant site, the borough said in its filings with FERC.</w:t>
      </w:r>
    </w:p>
    <w:p w:rsidR="003C1997" w:rsidRPr="001B29CB" w:rsidRDefault="003C1997" w:rsidP="001B29CB">
      <w:pPr>
        <w:spacing w:after="0"/>
        <w:rPr>
          <w:rFonts w:asciiTheme="minorHAnsi" w:eastAsiaTheme="minorEastAsia" w:hAnsiTheme="minorHAnsi" w:cstheme="minorHAnsi"/>
          <w:sz w:val="24"/>
          <w:szCs w:val="24"/>
        </w:rPr>
      </w:pPr>
    </w:p>
    <w:p w:rsidR="003C1997" w:rsidRPr="001B29CB" w:rsidRDefault="003C1997" w:rsidP="001B29CB">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 xml:space="preserve">“This is a formal complaint regarding the Alaska LNG project, whereby the Matanuska-Susitna Borough repeatedly raised a number of issues that were completely ignored and not addressed in any manner,” the borough said in </w:t>
      </w:r>
      <w:r w:rsidR="00CE751D">
        <w:rPr>
          <w:rFonts w:asciiTheme="minorHAnsi" w:eastAsiaTheme="minorEastAsia" w:hAnsiTheme="minorHAnsi" w:cstheme="minorHAnsi"/>
          <w:sz w:val="24"/>
          <w:szCs w:val="24"/>
        </w:rPr>
        <w:t>a</w:t>
      </w:r>
      <w:r w:rsidRPr="001B29CB">
        <w:rPr>
          <w:rFonts w:asciiTheme="minorHAnsi" w:eastAsiaTheme="minorEastAsia" w:hAnsiTheme="minorHAnsi" w:cstheme="minorHAnsi"/>
          <w:sz w:val="24"/>
          <w:szCs w:val="24"/>
        </w:rPr>
        <w:t xml:space="preserve"> Dec. 29 letter to FERC’s Dispute Resolution Service. </w:t>
      </w:r>
      <w:r w:rsidR="00307E50">
        <w:rPr>
          <w:rFonts w:asciiTheme="minorHAnsi" w:eastAsiaTheme="minorEastAsia" w:hAnsiTheme="minorHAnsi" w:cstheme="minorHAnsi"/>
          <w:sz w:val="24"/>
          <w:szCs w:val="24"/>
        </w:rPr>
        <w:t xml:space="preserve"> </w:t>
      </w:r>
      <w:r w:rsidRPr="001B29CB">
        <w:rPr>
          <w:rFonts w:asciiTheme="minorHAnsi" w:eastAsiaTheme="minorEastAsia" w:hAnsiTheme="minorHAnsi" w:cstheme="minorHAnsi"/>
          <w:sz w:val="24"/>
          <w:szCs w:val="24"/>
        </w:rPr>
        <w:t xml:space="preserve">The borough said it raised the issues with the </w:t>
      </w:r>
      <w:r w:rsidR="00CE751D">
        <w:rPr>
          <w:rFonts w:asciiTheme="minorHAnsi" w:eastAsiaTheme="minorEastAsia" w:hAnsiTheme="minorHAnsi" w:cstheme="minorHAnsi"/>
          <w:sz w:val="24"/>
          <w:szCs w:val="24"/>
        </w:rPr>
        <w:t xml:space="preserve">oil-and-gas </w:t>
      </w:r>
      <w:r w:rsidRPr="001B29CB">
        <w:rPr>
          <w:rFonts w:asciiTheme="minorHAnsi" w:eastAsiaTheme="minorEastAsia" w:hAnsiTheme="minorHAnsi" w:cstheme="minorHAnsi"/>
          <w:sz w:val="24"/>
          <w:szCs w:val="24"/>
        </w:rPr>
        <w:t xml:space="preserve">producer-led team that managed the project until late 2016, and then, after the </w:t>
      </w:r>
      <w:r w:rsidR="00CE751D">
        <w:rPr>
          <w:rFonts w:asciiTheme="minorHAnsi" w:eastAsiaTheme="minorEastAsia" w:hAnsiTheme="minorHAnsi" w:cstheme="minorHAnsi"/>
          <w:sz w:val="24"/>
          <w:szCs w:val="24"/>
        </w:rPr>
        <w:t xml:space="preserve">companies stepped aside and the </w:t>
      </w:r>
      <w:r w:rsidRPr="001B29CB">
        <w:rPr>
          <w:rFonts w:asciiTheme="minorHAnsi" w:eastAsiaTheme="minorEastAsia" w:hAnsiTheme="minorHAnsi" w:cstheme="minorHAnsi"/>
          <w:sz w:val="24"/>
          <w:szCs w:val="24"/>
        </w:rPr>
        <w:t>state took over total control of the venture, raised the same issues with the state-owned Alaska Gasline Development Corp.</w:t>
      </w:r>
      <w:r w:rsidR="000E3349" w:rsidRPr="001B29CB">
        <w:rPr>
          <w:rFonts w:asciiTheme="minorHAnsi" w:eastAsiaTheme="minorEastAsia" w:hAnsiTheme="minorHAnsi" w:cstheme="minorHAnsi"/>
          <w:sz w:val="24"/>
          <w:szCs w:val="24"/>
        </w:rPr>
        <w:t xml:space="preserve"> (AGDC).</w:t>
      </w:r>
    </w:p>
    <w:p w:rsidR="003C1997" w:rsidRPr="001B29CB" w:rsidRDefault="003C1997" w:rsidP="001B29CB">
      <w:pPr>
        <w:spacing w:after="0"/>
        <w:rPr>
          <w:rFonts w:asciiTheme="minorHAnsi" w:eastAsiaTheme="minorEastAsia" w:hAnsiTheme="minorHAnsi" w:cstheme="minorHAnsi"/>
          <w:sz w:val="24"/>
          <w:szCs w:val="24"/>
        </w:rPr>
      </w:pPr>
    </w:p>
    <w:p w:rsidR="00977D6F" w:rsidRPr="001B29CB" w:rsidRDefault="003C1997" w:rsidP="001B29CB">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By analyzing the uplands, tidelands</w:t>
      </w:r>
      <w:r w:rsidR="00257A31">
        <w:rPr>
          <w:rFonts w:asciiTheme="minorHAnsi" w:eastAsiaTheme="minorEastAsia" w:hAnsiTheme="minorHAnsi" w:cstheme="minorHAnsi"/>
          <w:sz w:val="24"/>
          <w:szCs w:val="24"/>
        </w:rPr>
        <w:t>,</w:t>
      </w:r>
      <w:r w:rsidRPr="001B29CB">
        <w:rPr>
          <w:rFonts w:asciiTheme="minorHAnsi" w:eastAsiaTheme="minorEastAsia" w:hAnsiTheme="minorHAnsi" w:cstheme="minorHAnsi"/>
          <w:sz w:val="24"/>
          <w:szCs w:val="24"/>
        </w:rPr>
        <w:t xml:space="preserve"> and offshore characteristics of </w:t>
      </w:r>
      <w:r w:rsidR="000E3349" w:rsidRPr="001B29CB">
        <w:rPr>
          <w:rFonts w:asciiTheme="minorHAnsi" w:eastAsiaTheme="minorEastAsia" w:hAnsiTheme="minorHAnsi" w:cstheme="minorHAnsi"/>
          <w:sz w:val="24"/>
          <w:szCs w:val="24"/>
        </w:rPr>
        <w:t xml:space="preserve">the deficient </w:t>
      </w:r>
      <w:r w:rsidRPr="001B29CB">
        <w:rPr>
          <w:rFonts w:asciiTheme="minorHAnsi" w:eastAsiaTheme="minorEastAsia" w:hAnsiTheme="minorHAnsi" w:cstheme="minorHAnsi"/>
          <w:sz w:val="24"/>
          <w:szCs w:val="24"/>
        </w:rPr>
        <w:t xml:space="preserve">Point MacKenzie, rather than </w:t>
      </w:r>
      <w:r w:rsidR="000E3349" w:rsidRPr="001B29CB">
        <w:rPr>
          <w:rFonts w:asciiTheme="minorHAnsi" w:eastAsiaTheme="minorEastAsia" w:hAnsiTheme="minorHAnsi" w:cstheme="minorHAnsi"/>
          <w:sz w:val="24"/>
          <w:szCs w:val="24"/>
        </w:rPr>
        <w:t xml:space="preserve">the superior </w:t>
      </w:r>
      <w:r w:rsidRPr="001B29CB">
        <w:rPr>
          <w:rFonts w:asciiTheme="minorHAnsi" w:eastAsiaTheme="minorEastAsia" w:hAnsiTheme="minorHAnsi" w:cstheme="minorHAnsi"/>
          <w:sz w:val="24"/>
          <w:szCs w:val="24"/>
        </w:rPr>
        <w:t>Port MacKenzie</w:t>
      </w:r>
      <w:r w:rsidR="00CE751D">
        <w:rPr>
          <w:rFonts w:asciiTheme="minorHAnsi" w:eastAsiaTheme="minorEastAsia" w:hAnsiTheme="minorHAnsi" w:cstheme="minorHAnsi"/>
          <w:sz w:val="24"/>
          <w:szCs w:val="24"/>
        </w:rPr>
        <w:t xml:space="preserve"> site</w:t>
      </w:r>
      <w:r w:rsidR="00977D6F" w:rsidRPr="001B29CB">
        <w:rPr>
          <w:rFonts w:asciiTheme="minorHAnsi" w:eastAsiaTheme="minorEastAsia" w:hAnsiTheme="minorHAnsi" w:cstheme="minorHAnsi"/>
          <w:sz w:val="24"/>
          <w:szCs w:val="24"/>
        </w:rPr>
        <w:t>, the project failed to fairly and adequately consider Port MacKenzie in its alternative analysis as required by the Clean Water Act and National Environmental Policy Act</w:t>
      </w:r>
      <w:r w:rsidR="000E3349" w:rsidRPr="001B29CB">
        <w:rPr>
          <w:rFonts w:asciiTheme="minorHAnsi" w:eastAsiaTheme="minorEastAsia" w:hAnsiTheme="minorHAnsi" w:cstheme="minorHAnsi"/>
          <w:sz w:val="24"/>
          <w:szCs w:val="24"/>
        </w:rPr>
        <w:t>, the borough allege</w:t>
      </w:r>
      <w:r w:rsidR="00CE751D">
        <w:rPr>
          <w:rFonts w:asciiTheme="minorHAnsi" w:eastAsiaTheme="minorEastAsia" w:hAnsiTheme="minorHAnsi" w:cstheme="minorHAnsi"/>
          <w:sz w:val="24"/>
          <w:szCs w:val="24"/>
        </w:rPr>
        <w:t>d</w:t>
      </w:r>
      <w:r w:rsidR="00977D6F" w:rsidRPr="001B29CB">
        <w:rPr>
          <w:rFonts w:asciiTheme="minorHAnsi" w:eastAsiaTheme="minorEastAsia" w:hAnsiTheme="minorHAnsi" w:cstheme="minorHAnsi"/>
          <w:sz w:val="24"/>
          <w:szCs w:val="24"/>
        </w:rPr>
        <w:t>.</w:t>
      </w:r>
    </w:p>
    <w:p w:rsidR="00977D6F" w:rsidRPr="001B29CB" w:rsidRDefault="00977D6F" w:rsidP="001B29CB">
      <w:pPr>
        <w:spacing w:after="0"/>
        <w:rPr>
          <w:rFonts w:asciiTheme="minorHAnsi" w:eastAsiaTheme="minorEastAsia" w:hAnsiTheme="minorHAnsi" w:cstheme="minorHAnsi"/>
          <w:sz w:val="24"/>
          <w:szCs w:val="24"/>
        </w:rPr>
      </w:pPr>
    </w:p>
    <w:p w:rsidR="00193271" w:rsidRDefault="00193271" w:rsidP="001B29CB">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Alaska LNG</w:t>
      </w:r>
      <w:r w:rsidR="00BD64C0">
        <w:rPr>
          <w:rFonts w:asciiTheme="minorHAnsi" w:eastAsiaTheme="minorEastAsia" w:hAnsiTheme="minorHAnsi" w:cstheme="minorHAnsi"/>
          <w:sz w:val="24"/>
          <w:szCs w:val="24"/>
        </w:rPr>
        <w:t>’s</w:t>
      </w:r>
      <w:r w:rsidR="00573FAE">
        <w:rPr>
          <w:rFonts w:asciiTheme="minorHAnsi" w:eastAsiaTheme="minorEastAsia" w:hAnsiTheme="minorHAnsi" w:cstheme="minorHAnsi"/>
          <w:sz w:val="24"/>
          <w:szCs w:val="24"/>
        </w:rPr>
        <w:t xml:space="preserve"> filings </w:t>
      </w:r>
      <w:r w:rsidR="00BD64C0">
        <w:rPr>
          <w:rFonts w:asciiTheme="minorHAnsi" w:eastAsiaTheme="minorEastAsia" w:hAnsiTheme="minorHAnsi" w:cstheme="minorHAnsi"/>
          <w:sz w:val="24"/>
          <w:szCs w:val="24"/>
        </w:rPr>
        <w:t>with</w:t>
      </w:r>
      <w:r w:rsidR="00573FAE">
        <w:rPr>
          <w:rFonts w:asciiTheme="minorHAnsi" w:eastAsiaTheme="minorEastAsia" w:hAnsiTheme="minorHAnsi" w:cstheme="minorHAnsi"/>
          <w:sz w:val="24"/>
          <w:szCs w:val="24"/>
        </w:rPr>
        <w:t xml:space="preserve"> FERC have consistently cited several reasons that the project did not select Point MacKenzie for the LNG plant, including traffic conflicts in the </w:t>
      </w:r>
      <w:r w:rsidR="00CE751D">
        <w:rPr>
          <w:rFonts w:asciiTheme="minorHAnsi" w:eastAsiaTheme="minorEastAsia" w:hAnsiTheme="minorHAnsi" w:cstheme="minorHAnsi"/>
          <w:sz w:val="24"/>
          <w:szCs w:val="24"/>
        </w:rPr>
        <w:t>waterway</w:t>
      </w:r>
      <w:r w:rsidR="00573FAE">
        <w:rPr>
          <w:rFonts w:asciiTheme="minorHAnsi" w:eastAsiaTheme="minorEastAsia" w:hAnsiTheme="minorHAnsi" w:cstheme="minorHAnsi"/>
          <w:sz w:val="24"/>
          <w:szCs w:val="24"/>
        </w:rPr>
        <w:t xml:space="preserve"> that also serves the </w:t>
      </w:r>
      <w:r w:rsidR="00BD64C0">
        <w:rPr>
          <w:rFonts w:asciiTheme="minorHAnsi" w:eastAsiaTheme="minorEastAsia" w:hAnsiTheme="minorHAnsi" w:cstheme="minorHAnsi"/>
          <w:sz w:val="24"/>
          <w:szCs w:val="24"/>
        </w:rPr>
        <w:t>P</w:t>
      </w:r>
      <w:r w:rsidR="00573FAE">
        <w:rPr>
          <w:rFonts w:asciiTheme="minorHAnsi" w:eastAsiaTheme="minorEastAsia" w:hAnsiTheme="minorHAnsi" w:cstheme="minorHAnsi"/>
          <w:sz w:val="24"/>
          <w:szCs w:val="24"/>
        </w:rPr>
        <w:t xml:space="preserve">ort of Anchorage, shallow water in the area of the borough location, high bluffs at shoreline, and the difficulties of working in critical habitat area for endangered </w:t>
      </w:r>
      <w:r w:rsidR="00BD64C0">
        <w:rPr>
          <w:rFonts w:asciiTheme="minorHAnsi" w:eastAsiaTheme="minorEastAsia" w:hAnsiTheme="minorHAnsi" w:cstheme="minorHAnsi"/>
          <w:sz w:val="24"/>
          <w:szCs w:val="24"/>
        </w:rPr>
        <w:t>b</w:t>
      </w:r>
      <w:r w:rsidR="00573FAE">
        <w:rPr>
          <w:rFonts w:asciiTheme="minorHAnsi" w:eastAsiaTheme="minorEastAsia" w:hAnsiTheme="minorHAnsi" w:cstheme="minorHAnsi"/>
          <w:sz w:val="24"/>
          <w:szCs w:val="24"/>
        </w:rPr>
        <w:t>eluga whales.</w:t>
      </w:r>
    </w:p>
    <w:p w:rsidR="00193271" w:rsidRDefault="00193271" w:rsidP="001B29CB">
      <w:pPr>
        <w:spacing w:after="0"/>
        <w:rPr>
          <w:rFonts w:asciiTheme="minorHAnsi" w:eastAsiaTheme="minorEastAsia" w:hAnsiTheme="minorHAnsi" w:cstheme="minorHAnsi"/>
          <w:sz w:val="24"/>
          <w:szCs w:val="24"/>
        </w:rPr>
      </w:pPr>
    </w:p>
    <w:p w:rsidR="003605A8" w:rsidRPr="003605A8" w:rsidRDefault="003605A8" w:rsidP="001B29CB">
      <w:pPr>
        <w:spacing w:after="0"/>
        <w:rPr>
          <w:rFonts w:asciiTheme="minorHAnsi" w:eastAsiaTheme="minorEastAsia" w:hAnsiTheme="minorHAnsi" w:cstheme="minorHAnsi"/>
          <w:b/>
          <w:sz w:val="24"/>
          <w:szCs w:val="24"/>
        </w:rPr>
      </w:pPr>
      <w:r w:rsidRPr="003605A8">
        <w:rPr>
          <w:rFonts w:asciiTheme="minorHAnsi" w:eastAsiaTheme="minorEastAsia" w:hAnsiTheme="minorHAnsi" w:cstheme="minorHAnsi"/>
          <w:b/>
          <w:sz w:val="24"/>
          <w:szCs w:val="24"/>
        </w:rPr>
        <w:t>BOROUGH SEEKS DISPUTE RESOLUTION HELP</w:t>
      </w:r>
    </w:p>
    <w:p w:rsidR="003605A8" w:rsidRDefault="003605A8" w:rsidP="001B29CB">
      <w:pPr>
        <w:spacing w:after="0"/>
        <w:rPr>
          <w:rFonts w:asciiTheme="minorHAnsi" w:eastAsiaTheme="minorEastAsia" w:hAnsiTheme="minorHAnsi" w:cstheme="minorHAnsi"/>
          <w:sz w:val="24"/>
          <w:szCs w:val="24"/>
        </w:rPr>
      </w:pPr>
    </w:p>
    <w:p w:rsidR="00FC5386" w:rsidRDefault="00F4035A" w:rsidP="001B29CB">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T</w:t>
      </w:r>
      <w:r w:rsidR="0058092F" w:rsidRPr="001B29CB">
        <w:rPr>
          <w:rFonts w:asciiTheme="minorHAnsi" w:eastAsiaTheme="minorEastAsia" w:hAnsiTheme="minorHAnsi" w:cstheme="minorHAnsi"/>
          <w:sz w:val="24"/>
          <w:szCs w:val="24"/>
        </w:rPr>
        <w:t xml:space="preserve">he </w:t>
      </w:r>
      <w:r w:rsidR="0058092F">
        <w:rPr>
          <w:rFonts w:asciiTheme="minorHAnsi" w:eastAsiaTheme="minorEastAsia" w:hAnsiTheme="minorHAnsi" w:cstheme="minorHAnsi"/>
          <w:sz w:val="24"/>
          <w:szCs w:val="24"/>
        </w:rPr>
        <w:t xml:space="preserve">Mat-Su </w:t>
      </w:r>
      <w:r w:rsidR="0058092F" w:rsidRPr="001B29CB">
        <w:rPr>
          <w:rFonts w:asciiTheme="minorHAnsi" w:eastAsiaTheme="minorEastAsia" w:hAnsiTheme="minorHAnsi" w:cstheme="minorHAnsi"/>
          <w:sz w:val="24"/>
          <w:szCs w:val="24"/>
        </w:rPr>
        <w:t xml:space="preserve">borough requested a thorough feasibility analysis of the Port </w:t>
      </w:r>
      <w:proofErr w:type="spellStart"/>
      <w:r w:rsidR="0058092F" w:rsidRPr="001B29CB">
        <w:rPr>
          <w:rFonts w:asciiTheme="minorHAnsi" w:eastAsiaTheme="minorEastAsia" w:hAnsiTheme="minorHAnsi" w:cstheme="minorHAnsi"/>
          <w:sz w:val="24"/>
          <w:szCs w:val="24"/>
        </w:rPr>
        <w:t>MacKenzie</w:t>
      </w:r>
      <w:proofErr w:type="spellEnd"/>
      <w:r w:rsidR="0058092F" w:rsidRPr="001B29CB">
        <w:rPr>
          <w:rFonts w:asciiTheme="minorHAnsi" w:eastAsiaTheme="minorEastAsia" w:hAnsiTheme="minorHAnsi" w:cstheme="minorHAnsi"/>
          <w:sz w:val="24"/>
          <w:szCs w:val="24"/>
        </w:rPr>
        <w:t xml:space="preserve"> site.</w:t>
      </w:r>
      <w:r w:rsidR="00307E50">
        <w:rPr>
          <w:rFonts w:asciiTheme="minorHAnsi" w:eastAsiaTheme="minorEastAsia" w:hAnsiTheme="minorHAnsi" w:cstheme="minorHAnsi"/>
          <w:sz w:val="24"/>
          <w:szCs w:val="24"/>
        </w:rPr>
        <w:t xml:space="preserve"> </w:t>
      </w:r>
      <w:r w:rsidR="0058092F" w:rsidRPr="001B29CB">
        <w:rPr>
          <w:rFonts w:asciiTheme="minorHAnsi" w:eastAsiaTheme="minorEastAsia" w:hAnsiTheme="minorHAnsi" w:cstheme="minorHAnsi"/>
          <w:sz w:val="24"/>
          <w:szCs w:val="24"/>
        </w:rPr>
        <w:t xml:space="preserve"> “The desire is to resolve this as an administrative matter</w:t>
      </w:r>
      <w:r>
        <w:rPr>
          <w:rFonts w:asciiTheme="minorHAnsi" w:eastAsiaTheme="minorEastAsia" w:hAnsiTheme="minorHAnsi" w:cstheme="minorHAnsi"/>
          <w:sz w:val="24"/>
          <w:szCs w:val="24"/>
        </w:rPr>
        <w:t>,</w:t>
      </w:r>
      <w:r w:rsidR="0058092F" w:rsidRPr="001B29CB">
        <w:rPr>
          <w:rFonts w:asciiTheme="minorHAnsi" w:eastAsiaTheme="minorEastAsia" w:hAnsiTheme="minorHAnsi" w:cstheme="minorHAnsi"/>
          <w:sz w:val="24"/>
          <w:szCs w:val="24"/>
        </w:rPr>
        <w:t>”</w:t>
      </w:r>
      <w:r w:rsidR="0058092F">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the borough said in its Dec. 29 letter to FERC’s </w:t>
      </w:r>
      <w:r w:rsidR="00BB280F">
        <w:rPr>
          <w:rFonts w:asciiTheme="minorHAnsi" w:eastAsiaTheme="minorEastAsia" w:hAnsiTheme="minorHAnsi" w:cstheme="minorHAnsi"/>
          <w:sz w:val="24"/>
          <w:szCs w:val="24"/>
        </w:rPr>
        <w:t>D</w:t>
      </w:r>
      <w:r>
        <w:rPr>
          <w:rFonts w:asciiTheme="minorHAnsi" w:eastAsiaTheme="minorEastAsia" w:hAnsiTheme="minorHAnsi" w:cstheme="minorHAnsi"/>
          <w:sz w:val="24"/>
          <w:szCs w:val="24"/>
        </w:rPr>
        <w:t>ispute</w:t>
      </w:r>
      <w:r w:rsidR="003605A8">
        <w:rPr>
          <w:rFonts w:asciiTheme="minorHAnsi" w:eastAsiaTheme="minorEastAsia" w:hAnsiTheme="minorHAnsi" w:cstheme="minorHAnsi"/>
          <w:sz w:val="24"/>
          <w:szCs w:val="24"/>
        </w:rPr>
        <w:t xml:space="preserve"> </w:t>
      </w:r>
      <w:r w:rsidR="00BB280F">
        <w:rPr>
          <w:rFonts w:asciiTheme="minorHAnsi" w:eastAsiaTheme="minorEastAsia" w:hAnsiTheme="minorHAnsi" w:cstheme="minorHAnsi"/>
          <w:sz w:val="24"/>
          <w:szCs w:val="24"/>
        </w:rPr>
        <w:t>Resolution Service</w:t>
      </w:r>
      <w:r w:rsidR="003605A8">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3605A8">
        <w:rPr>
          <w:rFonts w:asciiTheme="minorHAnsi" w:eastAsiaTheme="minorEastAsia" w:hAnsiTheme="minorHAnsi" w:cstheme="minorHAnsi"/>
          <w:sz w:val="24"/>
          <w:szCs w:val="24"/>
        </w:rPr>
        <w:t>The</w:t>
      </w:r>
      <w:r w:rsidR="00FC5386" w:rsidRPr="001B29CB">
        <w:rPr>
          <w:rFonts w:asciiTheme="minorHAnsi" w:eastAsiaTheme="minorEastAsia" w:hAnsiTheme="minorHAnsi" w:cstheme="minorHAnsi"/>
          <w:sz w:val="24"/>
          <w:szCs w:val="24"/>
        </w:rPr>
        <w:t xml:space="preserve"> </w:t>
      </w:r>
      <w:r w:rsidR="00BB280F">
        <w:rPr>
          <w:rFonts w:asciiTheme="minorHAnsi" w:eastAsiaTheme="minorEastAsia" w:hAnsiTheme="minorHAnsi" w:cstheme="minorHAnsi"/>
          <w:sz w:val="24"/>
          <w:szCs w:val="24"/>
        </w:rPr>
        <w:t>dispute office</w:t>
      </w:r>
      <w:r w:rsidR="00FC5386" w:rsidRPr="001B29CB">
        <w:rPr>
          <w:rFonts w:asciiTheme="minorHAnsi" w:eastAsiaTheme="minorEastAsia" w:hAnsiTheme="minorHAnsi" w:cstheme="minorHAnsi"/>
          <w:sz w:val="24"/>
          <w:szCs w:val="24"/>
        </w:rPr>
        <w:t xml:space="preserve"> offers voluntary mediation services to help settle </w:t>
      </w:r>
      <w:r w:rsidR="00BB280F">
        <w:rPr>
          <w:rFonts w:asciiTheme="minorHAnsi" w:eastAsiaTheme="minorEastAsia" w:hAnsiTheme="minorHAnsi" w:cstheme="minorHAnsi"/>
          <w:sz w:val="24"/>
          <w:szCs w:val="24"/>
        </w:rPr>
        <w:t>disagreements</w:t>
      </w:r>
      <w:r w:rsidR="00FC5386" w:rsidRPr="001B29CB">
        <w:rPr>
          <w:rFonts w:asciiTheme="minorHAnsi" w:eastAsiaTheme="minorEastAsia" w:hAnsiTheme="minorHAnsi" w:cstheme="minorHAnsi"/>
          <w:sz w:val="24"/>
          <w:szCs w:val="24"/>
        </w:rPr>
        <w:t xml:space="preserve"> involving environmental, contractual, tariff</w:t>
      </w:r>
      <w:r w:rsidR="00307E50">
        <w:rPr>
          <w:rFonts w:asciiTheme="minorHAnsi" w:eastAsiaTheme="minorEastAsia" w:hAnsiTheme="minorHAnsi" w:cstheme="minorHAnsi"/>
          <w:sz w:val="24"/>
          <w:szCs w:val="24"/>
        </w:rPr>
        <w:t>,</w:t>
      </w:r>
      <w:r w:rsidR="00FC5386" w:rsidRPr="001B29CB">
        <w:rPr>
          <w:rFonts w:asciiTheme="minorHAnsi" w:eastAsiaTheme="minorEastAsia" w:hAnsiTheme="minorHAnsi" w:cstheme="minorHAnsi"/>
          <w:sz w:val="24"/>
          <w:szCs w:val="24"/>
        </w:rPr>
        <w:t xml:space="preserve"> and rate disputes, landowners</w:t>
      </w:r>
      <w:r w:rsidR="00307E50">
        <w:rPr>
          <w:rFonts w:asciiTheme="minorHAnsi" w:eastAsiaTheme="minorEastAsia" w:hAnsiTheme="minorHAnsi" w:cstheme="minorHAnsi"/>
          <w:sz w:val="24"/>
          <w:szCs w:val="24"/>
        </w:rPr>
        <w:t>,</w:t>
      </w:r>
      <w:r w:rsidR="00FC5386" w:rsidRPr="001B29CB">
        <w:rPr>
          <w:rFonts w:asciiTheme="minorHAnsi" w:eastAsiaTheme="minorEastAsia" w:hAnsiTheme="minorHAnsi" w:cstheme="minorHAnsi"/>
          <w:sz w:val="24"/>
          <w:szCs w:val="24"/>
        </w:rPr>
        <w:t xml:space="preserve"> and other </w:t>
      </w:r>
      <w:r w:rsidR="00BB280F">
        <w:rPr>
          <w:rFonts w:asciiTheme="minorHAnsi" w:eastAsiaTheme="minorEastAsia" w:hAnsiTheme="minorHAnsi" w:cstheme="minorHAnsi"/>
          <w:sz w:val="24"/>
          <w:szCs w:val="24"/>
        </w:rPr>
        <w:t>matters</w:t>
      </w:r>
      <w:r w:rsidR="00FC5386" w:rsidRPr="001B29CB">
        <w:rPr>
          <w:rFonts w:asciiTheme="minorHAnsi" w:eastAsiaTheme="minorEastAsia" w:hAnsiTheme="minorHAnsi" w:cstheme="minorHAnsi"/>
          <w:sz w:val="24"/>
          <w:szCs w:val="24"/>
        </w:rPr>
        <w:t xml:space="preserve"> within the commission’s regulatory responsibilities.</w:t>
      </w:r>
    </w:p>
    <w:p w:rsidR="0058092F" w:rsidRPr="001B29CB" w:rsidRDefault="0058092F" w:rsidP="001B29CB">
      <w:pPr>
        <w:spacing w:after="0"/>
        <w:rPr>
          <w:rFonts w:asciiTheme="minorHAnsi" w:eastAsiaTheme="minorEastAsia" w:hAnsiTheme="minorHAnsi" w:cstheme="minorHAnsi"/>
          <w:sz w:val="24"/>
          <w:szCs w:val="24"/>
        </w:rPr>
      </w:pPr>
    </w:p>
    <w:p w:rsidR="00400EC5" w:rsidRPr="001B29CB" w:rsidRDefault="009C3CF7" w:rsidP="001B29CB">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 xml:space="preserve">Though the borough </w:t>
      </w:r>
      <w:r w:rsidR="00CE751D">
        <w:rPr>
          <w:rFonts w:asciiTheme="minorHAnsi" w:eastAsiaTheme="minorEastAsia" w:hAnsiTheme="minorHAnsi" w:cstheme="minorHAnsi"/>
          <w:sz w:val="24"/>
          <w:szCs w:val="24"/>
        </w:rPr>
        <w:t>told</w:t>
      </w:r>
      <w:r w:rsidRPr="001B29CB">
        <w:rPr>
          <w:rFonts w:asciiTheme="minorHAnsi" w:eastAsiaTheme="minorEastAsia" w:hAnsiTheme="minorHAnsi" w:cstheme="minorHAnsi"/>
          <w:sz w:val="24"/>
          <w:szCs w:val="24"/>
        </w:rPr>
        <w:t xml:space="preserve"> FERC that it had raised the Port MacKenzie issue “on multiple occasions” with AGDC officials, </w:t>
      </w:r>
      <w:r w:rsidR="0058092F">
        <w:rPr>
          <w:rFonts w:asciiTheme="minorHAnsi" w:eastAsiaTheme="minorEastAsia" w:hAnsiTheme="minorHAnsi" w:cstheme="minorHAnsi"/>
          <w:sz w:val="24"/>
          <w:szCs w:val="24"/>
        </w:rPr>
        <w:t>its</w:t>
      </w:r>
      <w:r w:rsidRPr="001B29CB">
        <w:rPr>
          <w:rFonts w:asciiTheme="minorHAnsi" w:eastAsiaTheme="minorEastAsia" w:hAnsiTheme="minorHAnsi" w:cstheme="minorHAnsi"/>
          <w:sz w:val="24"/>
          <w:szCs w:val="24"/>
        </w:rPr>
        <w:t xml:space="preserve"> </w:t>
      </w:r>
      <w:r w:rsidR="00FC5386" w:rsidRPr="001B29CB">
        <w:rPr>
          <w:rFonts w:asciiTheme="minorHAnsi" w:eastAsiaTheme="minorEastAsia" w:hAnsiTheme="minorHAnsi" w:cstheme="minorHAnsi"/>
          <w:sz w:val="24"/>
          <w:szCs w:val="24"/>
        </w:rPr>
        <w:t xml:space="preserve">Dec. 29 </w:t>
      </w:r>
      <w:r w:rsidRPr="001B29CB">
        <w:rPr>
          <w:rFonts w:asciiTheme="minorHAnsi" w:eastAsiaTheme="minorEastAsia" w:hAnsiTheme="minorHAnsi" w:cstheme="minorHAnsi"/>
          <w:sz w:val="24"/>
          <w:szCs w:val="24"/>
        </w:rPr>
        <w:t xml:space="preserve">complaint and </w:t>
      </w:r>
      <w:r w:rsidR="0058092F">
        <w:rPr>
          <w:rFonts w:asciiTheme="minorHAnsi" w:eastAsiaTheme="minorEastAsia" w:hAnsiTheme="minorHAnsi" w:cstheme="minorHAnsi"/>
          <w:sz w:val="24"/>
          <w:szCs w:val="24"/>
        </w:rPr>
        <w:t xml:space="preserve">its </w:t>
      </w:r>
      <w:r w:rsidR="003605A8">
        <w:rPr>
          <w:rFonts w:asciiTheme="minorHAnsi" w:eastAsiaTheme="minorEastAsia" w:hAnsiTheme="minorHAnsi" w:cstheme="minorHAnsi"/>
          <w:sz w:val="24"/>
          <w:szCs w:val="24"/>
        </w:rPr>
        <w:t xml:space="preserve">separate </w:t>
      </w:r>
      <w:r w:rsidR="00FC5386" w:rsidRPr="001B29CB">
        <w:rPr>
          <w:rFonts w:asciiTheme="minorHAnsi" w:eastAsiaTheme="minorEastAsia" w:hAnsiTheme="minorHAnsi" w:cstheme="minorHAnsi"/>
          <w:sz w:val="24"/>
          <w:szCs w:val="24"/>
        </w:rPr>
        <w:t>Jan. 9</w:t>
      </w:r>
      <w:r w:rsidRPr="001B29CB">
        <w:rPr>
          <w:rFonts w:asciiTheme="minorHAnsi" w:eastAsiaTheme="minorEastAsia" w:hAnsiTheme="minorHAnsi" w:cstheme="minorHAnsi"/>
          <w:sz w:val="24"/>
          <w:szCs w:val="24"/>
        </w:rPr>
        <w:t xml:space="preserve"> motion to intervene in the Alaska LNG application before federal regulators was the first time the borough had formally raised the dispute with FERC.</w:t>
      </w:r>
    </w:p>
    <w:p w:rsidR="009C3CF7" w:rsidRPr="001B29CB" w:rsidRDefault="009C3CF7" w:rsidP="001B29CB">
      <w:pPr>
        <w:spacing w:after="0"/>
        <w:rPr>
          <w:rFonts w:asciiTheme="minorHAnsi" w:eastAsiaTheme="minorEastAsia" w:hAnsiTheme="minorHAnsi" w:cstheme="minorHAnsi"/>
          <w:sz w:val="24"/>
          <w:szCs w:val="24"/>
        </w:rPr>
      </w:pPr>
    </w:p>
    <w:p w:rsidR="00647348" w:rsidRPr="001B29CB" w:rsidRDefault="009C3CF7" w:rsidP="001B29CB">
      <w:pPr>
        <w:spacing w:after="0"/>
        <w:rPr>
          <w:rFonts w:asciiTheme="minorHAnsi" w:hAnsiTheme="minorHAnsi" w:cstheme="minorHAnsi"/>
          <w:sz w:val="24"/>
          <w:szCs w:val="24"/>
        </w:rPr>
      </w:pPr>
      <w:r w:rsidRPr="001B29CB">
        <w:rPr>
          <w:rFonts w:asciiTheme="minorHAnsi" w:eastAsiaTheme="minorEastAsia" w:hAnsiTheme="minorHAnsi" w:cstheme="minorHAnsi"/>
          <w:sz w:val="24"/>
          <w:szCs w:val="24"/>
        </w:rPr>
        <w:lastRenderedPageBreak/>
        <w:t xml:space="preserve">In its </w:t>
      </w:r>
      <w:r w:rsidR="0058092F">
        <w:rPr>
          <w:rFonts w:asciiTheme="minorHAnsi" w:eastAsiaTheme="minorEastAsia" w:hAnsiTheme="minorHAnsi" w:cstheme="minorHAnsi"/>
          <w:sz w:val="24"/>
          <w:szCs w:val="24"/>
        </w:rPr>
        <w:t xml:space="preserve">Jan. 9 </w:t>
      </w:r>
      <w:r w:rsidRPr="001B29CB">
        <w:rPr>
          <w:rFonts w:asciiTheme="minorHAnsi" w:eastAsiaTheme="minorEastAsia" w:hAnsiTheme="minorHAnsi" w:cstheme="minorHAnsi"/>
          <w:sz w:val="24"/>
          <w:szCs w:val="24"/>
        </w:rPr>
        <w:t>motion, the borough ask</w:t>
      </w:r>
      <w:r w:rsidR="003605A8">
        <w:rPr>
          <w:rFonts w:asciiTheme="minorHAnsi" w:eastAsiaTheme="minorEastAsia" w:hAnsiTheme="minorHAnsi" w:cstheme="minorHAnsi"/>
          <w:sz w:val="24"/>
          <w:szCs w:val="24"/>
        </w:rPr>
        <w:t>ed</w:t>
      </w:r>
      <w:r w:rsidRPr="001B29CB">
        <w:rPr>
          <w:rFonts w:asciiTheme="minorHAnsi" w:eastAsiaTheme="minorEastAsia" w:hAnsiTheme="minorHAnsi" w:cstheme="minorHAnsi"/>
          <w:sz w:val="24"/>
          <w:szCs w:val="24"/>
        </w:rPr>
        <w:t xml:space="preserve"> that FERC</w:t>
      </w:r>
      <w:r w:rsidR="00647348" w:rsidRPr="001B29CB">
        <w:rPr>
          <w:rFonts w:asciiTheme="minorHAnsi" w:eastAsiaTheme="minorEastAsia" w:hAnsiTheme="minorHAnsi" w:cstheme="minorHAnsi"/>
          <w:sz w:val="24"/>
          <w:szCs w:val="24"/>
        </w:rPr>
        <w:t xml:space="preserve"> grant </w:t>
      </w:r>
      <w:r w:rsidR="006E1F8A">
        <w:rPr>
          <w:rFonts w:asciiTheme="minorHAnsi" w:eastAsiaTheme="minorEastAsia" w:hAnsiTheme="minorHAnsi" w:cstheme="minorHAnsi"/>
          <w:sz w:val="24"/>
          <w:szCs w:val="24"/>
        </w:rPr>
        <w:t>it</w:t>
      </w:r>
      <w:r w:rsidR="00647348" w:rsidRPr="001B29CB">
        <w:rPr>
          <w:rFonts w:asciiTheme="minorHAnsi" w:eastAsiaTheme="minorEastAsia" w:hAnsiTheme="minorHAnsi" w:cstheme="minorHAnsi"/>
          <w:sz w:val="24"/>
          <w:szCs w:val="24"/>
        </w:rPr>
        <w:t xml:space="preserve"> formal status as an intervenor in the </w:t>
      </w:r>
      <w:r w:rsidR="006E1F8A">
        <w:rPr>
          <w:rFonts w:asciiTheme="minorHAnsi" w:eastAsiaTheme="minorEastAsia" w:hAnsiTheme="minorHAnsi" w:cstheme="minorHAnsi"/>
          <w:sz w:val="24"/>
          <w:szCs w:val="24"/>
        </w:rPr>
        <w:t xml:space="preserve">project </w:t>
      </w:r>
      <w:r w:rsidR="00647348" w:rsidRPr="001B29CB">
        <w:rPr>
          <w:rFonts w:asciiTheme="minorHAnsi" w:eastAsiaTheme="minorEastAsia" w:hAnsiTheme="minorHAnsi" w:cstheme="minorHAnsi"/>
          <w:sz w:val="24"/>
          <w:szCs w:val="24"/>
        </w:rPr>
        <w:t>application</w:t>
      </w:r>
      <w:r w:rsidR="003605A8">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3605A8">
        <w:rPr>
          <w:rFonts w:asciiTheme="minorHAnsi" w:eastAsiaTheme="minorEastAsia" w:hAnsiTheme="minorHAnsi" w:cstheme="minorHAnsi"/>
          <w:sz w:val="24"/>
          <w:szCs w:val="24"/>
        </w:rPr>
        <w:t>S</w:t>
      </w:r>
      <w:r w:rsidR="00647348" w:rsidRPr="001B29CB">
        <w:rPr>
          <w:rFonts w:asciiTheme="minorHAnsi" w:eastAsiaTheme="minorEastAsia" w:hAnsiTheme="minorHAnsi" w:cstheme="minorHAnsi"/>
          <w:sz w:val="24"/>
          <w:szCs w:val="24"/>
        </w:rPr>
        <w:t>uch motions were due in May 2017</w:t>
      </w:r>
      <w:r w:rsidR="003605A8">
        <w:rPr>
          <w:rFonts w:asciiTheme="minorHAnsi" w:eastAsiaTheme="minorEastAsia" w:hAnsiTheme="minorHAnsi" w:cstheme="minorHAnsi"/>
          <w:sz w:val="24"/>
          <w:szCs w:val="24"/>
        </w:rPr>
        <w:t>, and t</w:t>
      </w:r>
      <w:r w:rsidR="00647348" w:rsidRPr="001B29CB">
        <w:rPr>
          <w:rFonts w:asciiTheme="minorHAnsi" w:eastAsiaTheme="minorEastAsia" w:hAnsiTheme="minorHAnsi" w:cstheme="minorHAnsi"/>
          <w:sz w:val="24"/>
          <w:szCs w:val="24"/>
        </w:rPr>
        <w:t>he borough</w:t>
      </w:r>
      <w:r w:rsidR="00840EA8" w:rsidRPr="001B29CB">
        <w:rPr>
          <w:rFonts w:asciiTheme="minorHAnsi" w:eastAsiaTheme="minorEastAsia" w:hAnsiTheme="minorHAnsi" w:cstheme="minorHAnsi"/>
          <w:sz w:val="24"/>
          <w:szCs w:val="24"/>
        </w:rPr>
        <w:t xml:space="preserve">’s argument for the late filing is that it had believed AGDC would redo its analysis to give fair consideration to Port MacKenzie. </w:t>
      </w:r>
      <w:r w:rsidR="00307E50">
        <w:rPr>
          <w:rFonts w:asciiTheme="minorHAnsi" w:eastAsiaTheme="minorEastAsia" w:hAnsiTheme="minorHAnsi" w:cstheme="minorHAnsi"/>
          <w:sz w:val="24"/>
          <w:szCs w:val="24"/>
        </w:rPr>
        <w:t xml:space="preserve"> </w:t>
      </w:r>
      <w:r w:rsidR="00840EA8" w:rsidRPr="001B29CB">
        <w:rPr>
          <w:rFonts w:asciiTheme="minorHAnsi" w:eastAsiaTheme="minorEastAsia" w:hAnsiTheme="minorHAnsi" w:cstheme="minorHAnsi"/>
          <w:sz w:val="24"/>
          <w:szCs w:val="24"/>
        </w:rPr>
        <w:t xml:space="preserve">As that has not occurred to the borough’s satisfaction, it decided to go to FERC for help. </w:t>
      </w:r>
      <w:r w:rsidR="00307E50">
        <w:rPr>
          <w:rFonts w:asciiTheme="minorHAnsi" w:eastAsiaTheme="minorEastAsia" w:hAnsiTheme="minorHAnsi" w:cstheme="minorHAnsi"/>
          <w:sz w:val="24"/>
          <w:szCs w:val="24"/>
        </w:rPr>
        <w:t xml:space="preserve"> </w:t>
      </w:r>
      <w:r w:rsidR="00840EA8" w:rsidRPr="001B29CB">
        <w:rPr>
          <w:rFonts w:asciiTheme="minorHAnsi" w:eastAsiaTheme="minorEastAsia" w:hAnsiTheme="minorHAnsi" w:cstheme="minorHAnsi"/>
          <w:sz w:val="24"/>
          <w:szCs w:val="24"/>
        </w:rPr>
        <w:t>“The b</w:t>
      </w:r>
      <w:r w:rsidR="00647348" w:rsidRPr="001B29CB">
        <w:rPr>
          <w:rFonts w:asciiTheme="minorHAnsi" w:hAnsiTheme="minorHAnsi" w:cstheme="minorHAnsi"/>
          <w:sz w:val="24"/>
          <w:szCs w:val="24"/>
        </w:rPr>
        <w:t xml:space="preserve">orough has consistently argued that siting the liquefaction facility at Port MacKenzie is the best practical location because it would achieve the objectives of the </w:t>
      </w:r>
      <w:r w:rsidR="00840EA8" w:rsidRPr="001B29CB">
        <w:rPr>
          <w:rFonts w:asciiTheme="minorHAnsi" w:hAnsiTheme="minorHAnsi" w:cstheme="minorHAnsi"/>
          <w:sz w:val="24"/>
          <w:szCs w:val="24"/>
        </w:rPr>
        <w:t>p</w:t>
      </w:r>
      <w:r w:rsidR="00647348" w:rsidRPr="001B29CB">
        <w:rPr>
          <w:rFonts w:asciiTheme="minorHAnsi" w:hAnsiTheme="minorHAnsi" w:cstheme="minorHAnsi"/>
          <w:sz w:val="24"/>
          <w:szCs w:val="24"/>
        </w:rPr>
        <w:t>roject and would cause the least environmental disruption</w:t>
      </w:r>
      <w:r w:rsidR="00840EA8" w:rsidRPr="001B29CB">
        <w:rPr>
          <w:rFonts w:asciiTheme="minorHAnsi" w:hAnsiTheme="minorHAnsi" w:cstheme="minorHAnsi"/>
          <w:sz w:val="24"/>
          <w:szCs w:val="24"/>
        </w:rPr>
        <w:t>,” the Washington D</w:t>
      </w:r>
      <w:r w:rsidR="006E1F8A">
        <w:rPr>
          <w:rFonts w:asciiTheme="minorHAnsi" w:hAnsiTheme="minorHAnsi" w:cstheme="minorHAnsi"/>
          <w:sz w:val="24"/>
          <w:szCs w:val="24"/>
        </w:rPr>
        <w:t>.</w:t>
      </w:r>
      <w:r w:rsidR="00840EA8" w:rsidRPr="001B29CB">
        <w:rPr>
          <w:rFonts w:asciiTheme="minorHAnsi" w:hAnsiTheme="minorHAnsi" w:cstheme="minorHAnsi"/>
          <w:sz w:val="24"/>
          <w:szCs w:val="24"/>
        </w:rPr>
        <w:t>C</w:t>
      </w:r>
      <w:r w:rsidR="006E1F8A">
        <w:rPr>
          <w:rFonts w:asciiTheme="minorHAnsi" w:hAnsiTheme="minorHAnsi" w:cstheme="minorHAnsi"/>
          <w:sz w:val="24"/>
          <w:szCs w:val="24"/>
        </w:rPr>
        <w:t>.</w:t>
      </w:r>
      <w:r w:rsidR="00840EA8" w:rsidRPr="001B29CB">
        <w:rPr>
          <w:rFonts w:asciiTheme="minorHAnsi" w:hAnsiTheme="minorHAnsi" w:cstheme="minorHAnsi"/>
          <w:sz w:val="24"/>
          <w:szCs w:val="24"/>
        </w:rPr>
        <w:t>-based attorney for the Matanuska-Susitna Borough said in the motion.</w:t>
      </w:r>
    </w:p>
    <w:p w:rsidR="00647348" w:rsidRPr="001B29CB" w:rsidRDefault="00647348" w:rsidP="001B29CB">
      <w:pPr>
        <w:spacing w:after="0"/>
        <w:rPr>
          <w:rFonts w:asciiTheme="minorHAnsi" w:hAnsiTheme="minorHAnsi" w:cstheme="minorHAnsi"/>
          <w:sz w:val="24"/>
          <w:szCs w:val="24"/>
        </w:rPr>
      </w:pPr>
    </w:p>
    <w:p w:rsidR="00840EA8" w:rsidRPr="001B29CB" w:rsidRDefault="00840EA8" w:rsidP="001B29CB">
      <w:pPr>
        <w:spacing w:after="0"/>
        <w:rPr>
          <w:rFonts w:asciiTheme="minorHAnsi" w:hAnsiTheme="minorHAnsi" w:cstheme="minorHAnsi"/>
          <w:sz w:val="24"/>
          <w:szCs w:val="24"/>
        </w:rPr>
      </w:pPr>
      <w:r w:rsidRPr="001B29CB">
        <w:rPr>
          <w:rFonts w:asciiTheme="minorHAnsi" w:hAnsiTheme="minorHAnsi" w:cstheme="minorHAnsi"/>
          <w:sz w:val="24"/>
          <w:szCs w:val="24"/>
        </w:rPr>
        <w:t xml:space="preserve">As of Jan. 15, FERC had not ruled on the late motion to intervene, nor had the Dispute Resolution Service posted a response in </w:t>
      </w:r>
      <w:r w:rsidR="0058092F">
        <w:rPr>
          <w:rFonts w:asciiTheme="minorHAnsi" w:hAnsiTheme="minorHAnsi" w:cstheme="minorHAnsi"/>
          <w:sz w:val="24"/>
          <w:szCs w:val="24"/>
        </w:rPr>
        <w:t>the Alaska LNG public docket</w:t>
      </w:r>
      <w:r w:rsidRPr="001B29CB">
        <w:rPr>
          <w:rFonts w:asciiTheme="minorHAnsi" w:hAnsiTheme="minorHAnsi" w:cstheme="minorHAnsi"/>
          <w:sz w:val="24"/>
          <w:szCs w:val="24"/>
        </w:rPr>
        <w:t xml:space="preserve"> to the borough’s formal complaint.</w:t>
      </w:r>
    </w:p>
    <w:p w:rsidR="00400EC5" w:rsidRPr="001B29CB" w:rsidRDefault="00400EC5" w:rsidP="001B29CB">
      <w:pPr>
        <w:spacing w:after="0"/>
        <w:rPr>
          <w:rFonts w:asciiTheme="minorHAnsi" w:hAnsiTheme="minorHAnsi" w:cstheme="minorHAnsi"/>
          <w:sz w:val="24"/>
          <w:szCs w:val="24"/>
        </w:rPr>
      </w:pPr>
    </w:p>
    <w:p w:rsidR="00400EC5" w:rsidRPr="001B29CB" w:rsidRDefault="00400EC5" w:rsidP="001B29CB">
      <w:pPr>
        <w:spacing w:after="0"/>
        <w:rPr>
          <w:rFonts w:asciiTheme="minorHAnsi" w:hAnsiTheme="minorHAnsi" w:cstheme="minorHAnsi"/>
          <w:sz w:val="24"/>
          <w:szCs w:val="24"/>
        </w:rPr>
      </w:pPr>
      <w:r w:rsidRPr="001B29CB">
        <w:rPr>
          <w:rFonts w:asciiTheme="minorHAnsi" w:hAnsiTheme="minorHAnsi" w:cstheme="minorHAnsi"/>
          <w:sz w:val="24"/>
          <w:szCs w:val="24"/>
        </w:rPr>
        <w:t>“Unless AGDC corrects the erroneous facts and analysis contained in Resource Report No. 10 (Alternatives), the commission’s draft environmental impact statement will be based on false and inaccurate information that does not reflect the real world environmental impacts of the project,” the borough said in its motion to intervene.</w:t>
      </w:r>
      <w:r w:rsidRPr="001B29CB">
        <w:rPr>
          <w:rFonts w:asciiTheme="minorHAnsi" w:eastAsiaTheme="minorEastAsia" w:hAnsiTheme="minorHAnsi" w:cstheme="minorHAnsi"/>
          <w:sz w:val="24"/>
          <w:szCs w:val="24"/>
        </w:rPr>
        <w:t xml:space="preserve"> </w:t>
      </w:r>
    </w:p>
    <w:p w:rsidR="00DD6541" w:rsidRPr="001B29CB" w:rsidRDefault="00DD6541" w:rsidP="001B29CB">
      <w:pPr>
        <w:spacing w:after="0"/>
        <w:rPr>
          <w:rFonts w:asciiTheme="minorHAnsi" w:hAnsiTheme="minorHAnsi" w:cstheme="minorHAnsi"/>
          <w:sz w:val="24"/>
          <w:szCs w:val="24"/>
        </w:rPr>
      </w:pPr>
    </w:p>
    <w:p w:rsidR="00FC5386" w:rsidRPr="001B29CB" w:rsidRDefault="00DD6541" w:rsidP="001B29CB">
      <w:pPr>
        <w:spacing w:after="0"/>
        <w:rPr>
          <w:rFonts w:asciiTheme="minorHAnsi" w:hAnsiTheme="minorHAnsi" w:cstheme="minorHAnsi"/>
          <w:sz w:val="24"/>
          <w:szCs w:val="24"/>
        </w:rPr>
      </w:pPr>
      <w:r w:rsidRPr="001B29CB">
        <w:rPr>
          <w:rFonts w:asciiTheme="minorHAnsi" w:hAnsiTheme="minorHAnsi" w:cstheme="minorHAnsi"/>
          <w:sz w:val="24"/>
          <w:szCs w:val="24"/>
        </w:rPr>
        <w:t>Granting the late motion to intervene would not delay the FERC process, the borough said</w:t>
      </w:r>
      <w:r w:rsidR="00FC5386" w:rsidRPr="001B29CB">
        <w:rPr>
          <w:rFonts w:asciiTheme="minorHAnsi" w:hAnsiTheme="minorHAnsi" w:cstheme="minorHAnsi"/>
          <w:sz w:val="24"/>
          <w:szCs w:val="24"/>
        </w:rPr>
        <w:t>, adding there would be “minimal, or no, negative impact to the construction schedule.”</w:t>
      </w:r>
      <w:r w:rsidR="003605A8">
        <w:rPr>
          <w:rFonts w:asciiTheme="minorHAnsi" w:hAnsiTheme="minorHAnsi" w:cstheme="minorHAnsi"/>
          <w:sz w:val="24"/>
          <w:szCs w:val="24"/>
        </w:rPr>
        <w:t xml:space="preserve"> </w:t>
      </w:r>
      <w:r w:rsidR="00307E50">
        <w:rPr>
          <w:rFonts w:asciiTheme="minorHAnsi" w:hAnsiTheme="minorHAnsi" w:cstheme="minorHAnsi"/>
          <w:sz w:val="24"/>
          <w:szCs w:val="24"/>
        </w:rPr>
        <w:t xml:space="preserve"> </w:t>
      </w:r>
      <w:r w:rsidR="003605A8">
        <w:rPr>
          <w:rFonts w:asciiTheme="minorHAnsi" w:hAnsiTheme="minorHAnsi" w:cstheme="minorHAnsi"/>
          <w:sz w:val="24"/>
          <w:szCs w:val="24"/>
        </w:rPr>
        <w:t>However, Alaska LNG is in the later stages of project design and engineering, and has done no detailed work for the Port MacKenzie option.</w:t>
      </w:r>
    </w:p>
    <w:p w:rsidR="00FC5386" w:rsidRPr="001B29CB" w:rsidRDefault="00FC5386" w:rsidP="001B29CB">
      <w:pPr>
        <w:spacing w:after="0"/>
        <w:rPr>
          <w:rFonts w:asciiTheme="minorHAnsi" w:hAnsiTheme="minorHAnsi" w:cstheme="minorHAnsi"/>
          <w:sz w:val="24"/>
          <w:szCs w:val="24"/>
        </w:rPr>
      </w:pPr>
    </w:p>
    <w:p w:rsidR="003605A8" w:rsidRPr="003605A8" w:rsidRDefault="003605A8" w:rsidP="001B29CB">
      <w:pPr>
        <w:spacing w:after="0"/>
        <w:rPr>
          <w:rFonts w:asciiTheme="minorHAnsi" w:hAnsiTheme="minorHAnsi" w:cstheme="minorHAnsi"/>
          <w:b/>
          <w:sz w:val="24"/>
          <w:szCs w:val="24"/>
        </w:rPr>
      </w:pPr>
      <w:r w:rsidRPr="003605A8">
        <w:rPr>
          <w:rFonts w:asciiTheme="minorHAnsi" w:hAnsiTheme="minorHAnsi" w:cstheme="minorHAnsi"/>
          <w:b/>
          <w:sz w:val="24"/>
          <w:szCs w:val="24"/>
        </w:rPr>
        <w:t>FAIRBANKS, VALDEZ ALSO OBJECTED</w:t>
      </w:r>
    </w:p>
    <w:p w:rsidR="003605A8" w:rsidRDefault="003605A8" w:rsidP="001B29CB">
      <w:pPr>
        <w:spacing w:after="0"/>
        <w:rPr>
          <w:rFonts w:asciiTheme="minorHAnsi" w:hAnsiTheme="minorHAnsi" w:cstheme="minorHAnsi"/>
          <w:sz w:val="24"/>
          <w:szCs w:val="24"/>
        </w:rPr>
      </w:pPr>
    </w:p>
    <w:p w:rsidR="00840EA8" w:rsidRPr="001B29CB" w:rsidRDefault="00400EC5" w:rsidP="001B29CB">
      <w:pPr>
        <w:spacing w:after="0"/>
        <w:rPr>
          <w:rFonts w:asciiTheme="minorHAnsi" w:hAnsiTheme="minorHAnsi" w:cstheme="minorHAnsi"/>
          <w:sz w:val="24"/>
          <w:szCs w:val="24"/>
        </w:rPr>
      </w:pPr>
      <w:r w:rsidRPr="001B29CB">
        <w:rPr>
          <w:rFonts w:asciiTheme="minorHAnsi" w:hAnsiTheme="minorHAnsi" w:cstheme="minorHAnsi"/>
          <w:sz w:val="24"/>
          <w:szCs w:val="24"/>
        </w:rPr>
        <w:t>T</w:t>
      </w:r>
      <w:r w:rsidR="00840EA8" w:rsidRPr="001B29CB">
        <w:rPr>
          <w:rFonts w:asciiTheme="minorHAnsi" w:hAnsiTheme="minorHAnsi" w:cstheme="minorHAnsi"/>
          <w:sz w:val="24"/>
          <w:szCs w:val="24"/>
        </w:rPr>
        <w:t>he Matanuska-Susitna Borough’s filings are not the first municipal challenges to the proposed $43 billion Alaska LNG project, which has been in the planning stage since 2012.</w:t>
      </w:r>
      <w:r w:rsidR="00307E50">
        <w:rPr>
          <w:rFonts w:asciiTheme="minorHAnsi" w:hAnsiTheme="minorHAnsi" w:cstheme="minorHAnsi"/>
          <w:sz w:val="24"/>
          <w:szCs w:val="24"/>
        </w:rPr>
        <w:t xml:space="preserve"> </w:t>
      </w:r>
      <w:r w:rsidR="00840EA8" w:rsidRPr="001B29CB">
        <w:rPr>
          <w:rFonts w:asciiTheme="minorHAnsi" w:hAnsiTheme="minorHAnsi" w:cstheme="minorHAnsi"/>
          <w:sz w:val="24"/>
          <w:szCs w:val="24"/>
        </w:rPr>
        <w:t xml:space="preserve"> The state-led effort filed its project application with FERC in April 2017, asking for an expedited environmental review in hopes of starting construction in 2019. </w:t>
      </w:r>
      <w:r w:rsidR="00307E50">
        <w:rPr>
          <w:rFonts w:asciiTheme="minorHAnsi" w:hAnsiTheme="minorHAnsi" w:cstheme="minorHAnsi"/>
          <w:sz w:val="24"/>
          <w:szCs w:val="24"/>
        </w:rPr>
        <w:t xml:space="preserve"> </w:t>
      </w:r>
      <w:r w:rsidR="00840EA8" w:rsidRPr="001B29CB">
        <w:rPr>
          <w:rFonts w:asciiTheme="minorHAnsi" w:hAnsiTheme="minorHAnsi" w:cstheme="minorHAnsi"/>
          <w:sz w:val="24"/>
          <w:szCs w:val="24"/>
        </w:rPr>
        <w:t>Separate from the regulatory process, AGDC is trying to line up investors, partners, customers</w:t>
      </w:r>
      <w:r w:rsidR="00F117FF">
        <w:rPr>
          <w:rFonts w:asciiTheme="minorHAnsi" w:hAnsiTheme="minorHAnsi" w:cstheme="minorHAnsi"/>
          <w:sz w:val="24"/>
          <w:szCs w:val="24"/>
        </w:rPr>
        <w:t>,</w:t>
      </w:r>
      <w:r w:rsidR="00840EA8" w:rsidRPr="001B29CB">
        <w:rPr>
          <w:rFonts w:asciiTheme="minorHAnsi" w:hAnsiTheme="minorHAnsi" w:cstheme="minorHAnsi"/>
          <w:sz w:val="24"/>
          <w:szCs w:val="24"/>
        </w:rPr>
        <w:t xml:space="preserve"> and a gas supply for the project — all of which are needed before construction could begin.</w:t>
      </w:r>
    </w:p>
    <w:p w:rsidR="00840EA8" w:rsidRPr="001B29CB" w:rsidRDefault="00840EA8" w:rsidP="001B29CB">
      <w:pPr>
        <w:spacing w:after="0"/>
        <w:rPr>
          <w:rFonts w:asciiTheme="minorHAnsi" w:hAnsiTheme="minorHAnsi" w:cstheme="minorHAnsi"/>
          <w:sz w:val="24"/>
          <w:szCs w:val="24"/>
        </w:rPr>
      </w:pPr>
    </w:p>
    <w:p w:rsidR="00840EA8" w:rsidRPr="001B29CB" w:rsidRDefault="00840EA8" w:rsidP="001B29CB">
      <w:pPr>
        <w:spacing w:after="0"/>
        <w:rPr>
          <w:rFonts w:asciiTheme="minorHAnsi" w:hAnsiTheme="minorHAnsi" w:cstheme="minorHAnsi"/>
          <w:sz w:val="24"/>
          <w:szCs w:val="24"/>
        </w:rPr>
      </w:pPr>
      <w:r w:rsidRPr="001B29CB">
        <w:rPr>
          <w:rFonts w:asciiTheme="minorHAnsi" w:hAnsiTheme="minorHAnsi" w:cstheme="minorHAnsi"/>
          <w:sz w:val="24"/>
          <w:szCs w:val="24"/>
        </w:rPr>
        <w:t xml:space="preserve">The Fairbanks North Star Borough in a FERC filing </w:t>
      </w:r>
      <w:r w:rsidR="00FC5386" w:rsidRPr="001B29CB">
        <w:rPr>
          <w:rFonts w:asciiTheme="minorHAnsi" w:hAnsiTheme="minorHAnsi" w:cstheme="minorHAnsi"/>
          <w:sz w:val="24"/>
          <w:szCs w:val="24"/>
        </w:rPr>
        <w:t>in 2015</w:t>
      </w:r>
      <w:r w:rsidRPr="001B29CB">
        <w:rPr>
          <w:rFonts w:asciiTheme="minorHAnsi" w:hAnsiTheme="minorHAnsi" w:cstheme="minorHAnsi"/>
          <w:sz w:val="24"/>
          <w:szCs w:val="24"/>
        </w:rPr>
        <w:t xml:space="preserve"> complained that the </w:t>
      </w:r>
      <w:r w:rsidR="003605A8">
        <w:rPr>
          <w:rFonts w:asciiTheme="minorHAnsi" w:hAnsiTheme="minorHAnsi" w:cstheme="minorHAnsi"/>
          <w:sz w:val="24"/>
          <w:szCs w:val="24"/>
        </w:rPr>
        <w:t xml:space="preserve">proposed </w:t>
      </w:r>
      <w:r w:rsidRPr="001B29CB">
        <w:rPr>
          <w:rFonts w:asciiTheme="minorHAnsi" w:hAnsiTheme="minorHAnsi" w:cstheme="minorHAnsi"/>
          <w:sz w:val="24"/>
          <w:szCs w:val="24"/>
        </w:rPr>
        <w:t xml:space="preserve">gas pipeline route </w:t>
      </w:r>
      <w:r w:rsidR="00FC5386" w:rsidRPr="001B29CB">
        <w:rPr>
          <w:rFonts w:asciiTheme="minorHAnsi" w:hAnsiTheme="minorHAnsi" w:cstheme="minorHAnsi"/>
          <w:sz w:val="24"/>
          <w:szCs w:val="24"/>
        </w:rPr>
        <w:t>is</w:t>
      </w:r>
      <w:r w:rsidRPr="001B29CB">
        <w:rPr>
          <w:rFonts w:asciiTheme="minorHAnsi" w:hAnsiTheme="minorHAnsi" w:cstheme="minorHAnsi"/>
          <w:sz w:val="24"/>
          <w:szCs w:val="24"/>
        </w:rPr>
        <w:t xml:space="preserve"> too far west of the borough’s built-up area, making it more expensive to bring gas to residents and businesses.</w:t>
      </w:r>
    </w:p>
    <w:p w:rsidR="00840EA8" w:rsidRPr="001B29CB" w:rsidRDefault="00840EA8" w:rsidP="001B29CB">
      <w:pPr>
        <w:spacing w:after="0"/>
        <w:rPr>
          <w:rFonts w:asciiTheme="minorHAnsi" w:hAnsiTheme="minorHAnsi" w:cstheme="minorHAnsi"/>
          <w:sz w:val="24"/>
          <w:szCs w:val="24"/>
        </w:rPr>
      </w:pPr>
    </w:p>
    <w:p w:rsidR="00BF352A" w:rsidRPr="001B29CB" w:rsidRDefault="00FC5386" w:rsidP="001B29CB">
      <w:pPr>
        <w:spacing w:after="0"/>
        <w:rPr>
          <w:rFonts w:asciiTheme="minorHAnsi" w:hAnsiTheme="minorHAnsi" w:cstheme="minorHAnsi"/>
          <w:sz w:val="24"/>
          <w:szCs w:val="24"/>
        </w:rPr>
      </w:pPr>
      <w:r w:rsidRPr="001B29CB">
        <w:rPr>
          <w:rFonts w:asciiTheme="minorHAnsi" w:hAnsiTheme="minorHAnsi" w:cstheme="minorHAnsi"/>
          <w:sz w:val="24"/>
          <w:szCs w:val="24"/>
        </w:rPr>
        <w:t>T</w:t>
      </w:r>
      <w:r w:rsidR="00840EA8" w:rsidRPr="001B29CB">
        <w:rPr>
          <w:rFonts w:asciiTheme="minorHAnsi" w:hAnsiTheme="minorHAnsi" w:cstheme="minorHAnsi"/>
          <w:sz w:val="24"/>
          <w:szCs w:val="24"/>
        </w:rPr>
        <w:t xml:space="preserve">he city of Valdez </w:t>
      </w:r>
      <w:r w:rsidR="00FB4632" w:rsidRPr="001B29CB">
        <w:rPr>
          <w:rFonts w:asciiTheme="minorHAnsi" w:hAnsiTheme="minorHAnsi" w:cstheme="minorHAnsi"/>
          <w:sz w:val="24"/>
          <w:szCs w:val="24"/>
        </w:rPr>
        <w:t xml:space="preserve">in </w:t>
      </w:r>
      <w:r w:rsidRPr="001B29CB">
        <w:rPr>
          <w:rFonts w:asciiTheme="minorHAnsi" w:hAnsiTheme="minorHAnsi" w:cstheme="minorHAnsi"/>
          <w:sz w:val="24"/>
          <w:szCs w:val="24"/>
        </w:rPr>
        <w:t xml:space="preserve">2015 and </w:t>
      </w:r>
      <w:r w:rsidR="00FB4632" w:rsidRPr="001B29CB">
        <w:rPr>
          <w:rFonts w:asciiTheme="minorHAnsi" w:hAnsiTheme="minorHAnsi" w:cstheme="minorHAnsi"/>
          <w:sz w:val="24"/>
          <w:szCs w:val="24"/>
        </w:rPr>
        <w:t>2017</w:t>
      </w:r>
      <w:r w:rsidR="0058092F">
        <w:rPr>
          <w:rFonts w:asciiTheme="minorHAnsi" w:hAnsiTheme="minorHAnsi" w:cstheme="minorHAnsi"/>
          <w:sz w:val="24"/>
          <w:szCs w:val="24"/>
        </w:rPr>
        <w:t xml:space="preserve"> filings with FER</w:t>
      </w:r>
      <w:r w:rsidR="00FB4632" w:rsidRPr="001B29CB">
        <w:rPr>
          <w:rFonts w:asciiTheme="minorHAnsi" w:hAnsiTheme="minorHAnsi" w:cstheme="minorHAnsi"/>
          <w:sz w:val="24"/>
          <w:szCs w:val="24"/>
        </w:rPr>
        <w:t>C</w:t>
      </w:r>
      <w:r w:rsidR="0058092F">
        <w:rPr>
          <w:rFonts w:asciiTheme="minorHAnsi" w:hAnsiTheme="minorHAnsi" w:cstheme="minorHAnsi"/>
          <w:sz w:val="24"/>
          <w:szCs w:val="24"/>
        </w:rPr>
        <w:t xml:space="preserve"> </w:t>
      </w:r>
      <w:r w:rsidR="00FB4632" w:rsidRPr="001B29CB">
        <w:rPr>
          <w:rFonts w:asciiTheme="minorHAnsi" w:hAnsiTheme="minorHAnsi" w:cstheme="minorHAnsi"/>
          <w:sz w:val="24"/>
          <w:szCs w:val="24"/>
        </w:rPr>
        <w:t>challeng</w:t>
      </w:r>
      <w:r w:rsidR="0058092F">
        <w:rPr>
          <w:rFonts w:asciiTheme="minorHAnsi" w:hAnsiTheme="minorHAnsi" w:cstheme="minorHAnsi"/>
          <w:sz w:val="24"/>
          <w:szCs w:val="24"/>
        </w:rPr>
        <w:t>ed</w:t>
      </w:r>
      <w:r w:rsidR="00FB4632" w:rsidRPr="001B29CB">
        <w:rPr>
          <w:rFonts w:asciiTheme="minorHAnsi" w:hAnsiTheme="minorHAnsi" w:cstheme="minorHAnsi"/>
          <w:sz w:val="24"/>
          <w:szCs w:val="24"/>
        </w:rPr>
        <w:t xml:space="preserve"> the selection of Nikiski as the best site for the LNG plant and argu</w:t>
      </w:r>
      <w:r w:rsidR="0058092F">
        <w:rPr>
          <w:rFonts w:asciiTheme="minorHAnsi" w:hAnsiTheme="minorHAnsi" w:cstheme="minorHAnsi"/>
          <w:sz w:val="24"/>
          <w:szCs w:val="24"/>
        </w:rPr>
        <w:t>ed</w:t>
      </w:r>
      <w:r w:rsidR="00FB4632" w:rsidRPr="001B29CB">
        <w:rPr>
          <w:rFonts w:asciiTheme="minorHAnsi" w:hAnsiTheme="minorHAnsi" w:cstheme="minorHAnsi"/>
          <w:sz w:val="24"/>
          <w:szCs w:val="24"/>
        </w:rPr>
        <w:t xml:space="preserve"> that Valdez would be a better location. </w:t>
      </w:r>
      <w:r w:rsidR="00307E50">
        <w:rPr>
          <w:rFonts w:asciiTheme="minorHAnsi" w:hAnsiTheme="minorHAnsi" w:cstheme="minorHAnsi"/>
          <w:sz w:val="24"/>
          <w:szCs w:val="24"/>
        </w:rPr>
        <w:t xml:space="preserve"> </w:t>
      </w:r>
      <w:r w:rsidR="00A618FB" w:rsidRPr="001B29CB">
        <w:rPr>
          <w:rFonts w:asciiTheme="minorHAnsi" w:hAnsiTheme="minorHAnsi" w:cstheme="minorHAnsi"/>
          <w:sz w:val="24"/>
          <w:szCs w:val="24"/>
        </w:rPr>
        <w:t>Valdez, 170 miles east of Nikiski, was the only Alaska municipality to file a motion to intervene</w:t>
      </w:r>
      <w:r w:rsidR="0058092F">
        <w:rPr>
          <w:rFonts w:asciiTheme="minorHAnsi" w:hAnsiTheme="minorHAnsi" w:cstheme="minorHAnsi"/>
          <w:sz w:val="24"/>
          <w:szCs w:val="24"/>
        </w:rPr>
        <w:t>, until the Mat-Su Borough request</w:t>
      </w:r>
      <w:r w:rsidR="00A618FB" w:rsidRPr="001B29CB">
        <w:rPr>
          <w:rFonts w:asciiTheme="minorHAnsi" w:hAnsiTheme="minorHAnsi" w:cstheme="minorHAnsi"/>
          <w:sz w:val="24"/>
          <w:szCs w:val="24"/>
        </w:rPr>
        <w:t xml:space="preserve">. </w:t>
      </w:r>
      <w:r w:rsidR="00307E50">
        <w:rPr>
          <w:rFonts w:asciiTheme="minorHAnsi" w:hAnsiTheme="minorHAnsi" w:cstheme="minorHAnsi"/>
          <w:sz w:val="24"/>
          <w:szCs w:val="24"/>
        </w:rPr>
        <w:t xml:space="preserve"> </w:t>
      </w:r>
      <w:r w:rsidR="00A618FB" w:rsidRPr="001B29CB">
        <w:rPr>
          <w:rFonts w:asciiTheme="minorHAnsi" w:hAnsiTheme="minorHAnsi" w:cstheme="minorHAnsi"/>
          <w:sz w:val="24"/>
          <w:szCs w:val="24"/>
        </w:rPr>
        <w:t xml:space="preserve">The city </w:t>
      </w:r>
      <w:r w:rsidR="00BF352A" w:rsidRPr="001B29CB">
        <w:rPr>
          <w:rFonts w:asciiTheme="minorHAnsi" w:hAnsiTheme="minorHAnsi" w:cstheme="minorHAnsi"/>
          <w:sz w:val="24"/>
          <w:szCs w:val="24"/>
        </w:rPr>
        <w:t>said</w:t>
      </w:r>
      <w:r w:rsidR="00A618FB" w:rsidRPr="001B29CB">
        <w:rPr>
          <w:rFonts w:asciiTheme="minorHAnsi" w:hAnsiTheme="minorHAnsi" w:cstheme="minorHAnsi"/>
          <w:sz w:val="24"/>
          <w:szCs w:val="24"/>
        </w:rPr>
        <w:t xml:space="preserve"> Valdez is a lower-risk, lower-cost option than Nikiski</w:t>
      </w:r>
      <w:r w:rsidR="00BF352A" w:rsidRPr="001B29CB">
        <w:rPr>
          <w:rFonts w:asciiTheme="minorHAnsi" w:hAnsiTheme="minorHAnsi" w:cstheme="minorHAnsi"/>
          <w:sz w:val="24"/>
          <w:szCs w:val="24"/>
        </w:rPr>
        <w:t>.</w:t>
      </w:r>
      <w:r w:rsidR="0058092F">
        <w:rPr>
          <w:rFonts w:asciiTheme="minorHAnsi" w:hAnsiTheme="minorHAnsi" w:cstheme="minorHAnsi"/>
          <w:sz w:val="24"/>
          <w:szCs w:val="24"/>
        </w:rPr>
        <w:t xml:space="preserve"> </w:t>
      </w:r>
      <w:r w:rsidR="00307E50">
        <w:rPr>
          <w:rFonts w:asciiTheme="minorHAnsi" w:hAnsiTheme="minorHAnsi" w:cstheme="minorHAnsi"/>
          <w:sz w:val="24"/>
          <w:szCs w:val="24"/>
        </w:rPr>
        <w:t xml:space="preserve"> </w:t>
      </w:r>
      <w:r w:rsidR="0058092F">
        <w:rPr>
          <w:rFonts w:asciiTheme="minorHAnsi" w:hAnsiTheme="minorHAnsi" w:cstheme="minorHAnsi"/>
          <w:sz w:val="24"/>
          <w:szCs w:val="24"/>
        </w:rPr>
        <w:t>Valdez was among the two dozen sites analyzed and rejected by the Alaska LNG project in favor of the Nikiski location.</w:t>
      </w:r>
    </w:p>
    <w:p w:rsidR="00BF352A" w:rsidRPr="001B29CB" w:rsidRDefault="00BF352A" w:rsidP="001B29CB">
      <w:pPr>
        <w:spacing w:after="0"/>
        <w:rPr>
          <w:rFonts w:asciiTheme="minorHAnsi" w:hAnsiTheme="minorHAnsi" w:cstheme="minorHAnsi"/>
          <w:sz w:val="24"/>
          <w:szCs w:val="24"/>
        </w:rPr>
      </w:pPr>
    </w:p>
    <w:p w:rsidR="00DD6541" w:rsidRPr="001B29CB" w:rsidRDefault="00BF352A" w:rsidP="001B29CB">
      <w:pPr>
        <w:spacing w:after="0"/>
        <w:rPr>
          <w:rFonts w:asciiTheme="minorHAnsi" w:hAnsiTheme="minorHAnsi" w:cstheme="minorHAnsi"/>
          <w:sz w:val="24"/>
          <w:szCs w:val="24"/>
        </w:rPr>
      </w:pPr>
      <w:r w:rsidRPr="001B29CB">
        <w:rPr>
          <w:rFonts w:asciiTheme="minorHAnsi" w:hAnsiTheme="minorHAnsi" w:cstheme="minorHAnsi"/>
          <w:sz w:val="24"/>
          <w:szCs w:val="24"/>
        </w:rPr>
        <w:lastRenderedPageBreak/>
        <w:t>In a February 201</w:t>
      </w:r>
      <w:r w:rsidR="00400EC5" w:rsidRPr="001B29CB">
        <w:rPr>
          <w:rFonts w:asciiTheme="minorHAnsi" w:hAnsiTheme="minorHAnsi" w:cstheme="minorHAnsi"/>
          <w:sz w:val="24"/>
          <w:szCs w:val="24"/>
        </w:rPr>
        <w:t>7</w:t>
      </w:r>
      <w:r w:rsidRPr="001B29CB">
        <w:rPr>
          <w:rFonts w:asciiTheme="minorHAnsi" w:hAnsiTheme="minorHAnsi" w:cstheme="minorHAnsi"/>
          <w:sz w:val="24"/>
          <w:szCs w:val="24"/>
        </w:rPr>
        <w:t xml:space="preserve"> filing, the </w:t>
      </w:r>
      <w:r w:rsidR="00FB4632" w:rsidRPr="001B29CB">
        <w:rPr>
          <w:rFonts w:asciiTheme="minorHAnsi" w:hAnsiTheme="minorHAnsi" w:cstheme="minorHAnsi"/>
          <w:sz w:val="24"/>
          <w:szCs w:val="24"/>
        </w:rPr>
        <w:t xml:space="preserve">Alaska Gasline Port Authority, </w:t>
      </w:r>
      <w:r w:rsidRPr="001B29CB">
        <w:rPr>
          <w:rFonts w:asciiTheme="minorHAnsi" w:hAnsiTheme="minorHAnsi" w:cstheme="minorHAnsi"/>
          <w:sz w:val="24"/>
          <w:szCs w:val="24"/>
        </w:rPr>
        <w:t xml:space="preserve">which is </w:t>
      </w:r>
      <w:r w:rsidR="00FB4632" w:rsidRPr="001B29CB">
        <w:rPr>
          <w:rFonts w:asciiTheme="minorHAnsi" w:hAnsiTheme="minorHAnsi" w:cstheme="minorHAnsi"/>
          <w:sz w:val="24"/>
          <w:szCs w:val="24"/>
        </w:rPr>
        <w:t>comprised of the city of Valdez and the Fairbanks North Star Borough</w:t>
      </w:r>
      <w:r w:rsidRPr="001B29CB">
        <w:rPr>
          <w:rFonts w:asciiTheme="minorHAnsi" w:hAnsiTheme="minorHAnsi" w:cstheme="minorHAnsi"/>
          <w:sz w:val="24"/>
          <w:szCs w:val="24"/>
        </w:rPr>
        <w:t xml:space="preserve">, </w:t>
      </w:r>
      <w:r w:rsidR="0058092F">
        <w:rPr>
          <w:rFonts w:asciiTheme="minorHAnsi" w:hAnsiTheme="minorHAnsi" w:cstheme="minorHAnsi"/>
          <w:sz w:val="24"/>
          <w:szCs w:val="24"/>
        </w:rPr>
        <w:t xml:space="preserve">also </w:t>
      </w:r>
      <w:r w:rsidRPr="001B29CB">
        <w:rPr>
          <w:rFonts w:asciiTheme="minorHAnsi" w:hAnsiTheme="minorHAnsi" w:cstheme="minorHAnsi"/>
          <w:sz w:val="24"/>
          <w:szCs w:val="24"/>
        </w:rPr>
        <w:t xml:space="preserve">argued </w:t>
      </w:r>
      <w:r w:rsidR="0058092F">
        <w:rPr>
          <w:rFonts w:asciiTheme="minorHAnsi" w:hAnsiTheme="minorHAnsi" w:cstheme="minorHAnsi"/>
          <w:sz w:val="24"/>
          <w:szCs w:val="24"/>
        </w:rPr>
        <w:t xml:space="preserve">to FERC </w:t>
      </w:r>
      <w:r w:rsidRPr="001B29CB">
        <w:rPr>
          <w:rFonts w:asciiTheme="minorHAnsi" w:hAnsiTheme="minorHAnsi" w:cstheme="minorHAnsi"/>
          <w:sz w:val="24"/>
          <w:szCs w:val="24"/>
        </w:rPr>
        <w:t>that Valdez is the better site for the LNG plant</w:t>
      </w:r>
      <w:r w:rsidR="00FB4632" w:rsidRPr="001B29CB">
        <w:rPr>
          <w:rFonts w:asciiTheme="minorHAnsi" w:hAnsiTheme="minorHAnsi" w:cstheme="minorHAnsi"/>
          <w:sz w:val="24"/>
          <w:szCs w:val="24"/>
        </w:rPr>
        <w:t xml:space="preserve">. </w:t>
      </w:r>
      <w:r w:rsidR="00307E50">
        <w:rPr>
          <w:rFonts w:asciiTheme="minorHAnsi" w:hAnsiTheme="minorHAnsi" w:cstheme="minorHAnsi"/>
          <w:sz w:val="24"/>
          <w:szCs w:val="24"/>
        </w:rPr>
        <w:t xml:space="preserve"> </w:t>
      </w:r>
      <w:r w:rsidR="00FB4632" w:rsidRPr="001B29CB">
        <w:rPr>
          <w:rFonts w:asciiTheme="minorHAnsi" w:hAnsiTheme="minorHAnsi" w:cstheme="minorHAnsi"/>
          <w:sz w:val="24"/>
          <w:szCs w:val="24"/>
        </w:rPr>
        <w:t>The municipal port authority, which does not operate any ports, was created in 1999 to promote a North Slope gas pipeline project that would end at an LNG plant in Valdez.</w:t>
      </w:r>
    </w:p>
    <w:p w:rsidR="00DD6541" w:rsidRPr="001B29CB" w:rsidRDefault="00DD6541" w:rsidP="001B29CB">
      <w:pPr>
        <w:spacing w:after="0"/>
        <w:rPr>
          <w:rFonts w:asciiTheme="minorHAnsi" w:eastAsiaTheme="minorEastAsia" w:hAnsiTheme="minorHAnsi" w:cstheme="minorHAnsi"/>
          <w:sz w:val="24"/>
          <w:szCs w:val="24"/>
        </w:rPr>
      </w:pPr>
    </w:p>
    <w:p w:rsidR="00EB28F7" w:rsidRPr="001B29CB" w:rsidRDefault="00EB28F7" w:rsidP="00EB28F7">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In an unrelated Dec. 29 filing with FERC, AGDC responded to an earlier challenge filed by the city of Valdez. </w:t>
      </w:r>
      <w:r w:rsidR="00307E50">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The state team said: </w:t>
      </w:r>
      <w:r w:rsidRPr="001B29CB">
        <w:rPr>
          <w:rFonts w:asciiTheme="minorHAnsi" w:eastAsiaTheme="minorEastAsia" w:hAnsiTheme="minorHAnsi" w:cstheme="minorHAnsi"/>
          <w:sz w:val="24"/>
          <w:szCs w:val="24"/>
        </w:rPr>
        <w:t xml:space="preserve">“The </w:t>
      </w:r>
      <w:r>
        <w:rPr>
          <w:rFonts w:asciiTheme="minorHAnsi" w:eastAsiaTheme="minorEastAsia" w:hAnsiTheme="minorHAnsi" w:cstheme="minorHAnsi"/>
          <w:sz w:val="24"/>
          <w:szCs w:val="24"/>
        </w:rPr>
        <w:t>a</w:t>
      </w:r>
      <w:r w:rsidRPr="001B29CB">
        <w:rPr>
          <w:rFonts w:asciiTheme="minorHAnsi" w:eastAsiaTheme="minorEastAsia" w:hAnsiTheme="minorHAnsi" w:cstheme="minorHAnsi"/>
          <w:sz w:val="24"/>
          <w:szCs w:val="24"/>
        </w:rPr>
        <w:t xml:space="preserve">pplicant strongly feels that the site evaluation process was systematic, thorough, and resulted in the selection of a </w:t>
      </w:r>
      <w:r>
        <w:rPr>
          <w:rFonts w:asciiTheme="minorHAnsi" w:eastAsiaTheme="minorEastAsia" w:hAnsiTheme="minorHAnsi" w:cstheme="minorHAnsi"/>
          <w:sz w:val="24"/>
          <w:szCs w:val="24"/>
        </w:rPr>
        <w:t>l</w:t>
      </w:r>
      <w:r w:rsidRPr="001B29CB">
        <w:rPr>
          <w:rFonts w:asciiTheme="minorHAnsi" w:eastAsiaTheme="minorEastAsia" w:hAnsiTheme="minorHAnsi" w:cstheme="minorHAnsi"/>
          <w:sz w:val="24"/>
          <w:szCs w:val="24"/>
        </w:rPr>
        <w:t xml:space="preserve">iquefaction </w:t>
      </w:r>
      <w:r>
        <w:rPr>
          <w:rFonts w:asciiTheme="minorHAnsi" w:eastAsiaTheme="minorEastAsia" w:hAnsiTheme="minorHAnsi" w:cstheme="minorHAnsi"/>
          <w:sz w:val="24"/>
          <w:szCs w:val="24"/>
        </w:rPr>
        <w:t>f</w:t>
      </w:r>
      <w:r w:rsidRPr="001B29CB">
        <w:rPr>
          <w:rFonts w:asciiTheme="minorHAnsi" w:eastAsiaTheme="minorEastAsia" w:hAnsiTheme="minorHAnsi" w:cstheme="minorHAnsi"/>
          <w:sz w:val="24"/>
          <w:szCs w:val="24"/>
        </w:rPr>
        <w:t xml:space="preserve">acility site that best meets the needs of the </w:t>
      </w:r>
      <w:r>
        <w:rPr>
          <w:rFonts w:asciiTheme="minorHAnsi" w:eastAsiaTheme="minorEastAsia" w:hAnsiTheme="minorHAnsi" w:cstheme="minorHAnsi"/>
          <w:sz w:val="24"/>
          <w:szCs w:val="24"/>
        </w:rPr>
        <w:t>p</w:t>
      </w:r>
      <w:r w:rsidRPr="001B29CB">
        <w:rPr>
          <w:rFonts w:asciiTheme="minorHAnsi" w:eastAsiaTheme="minorEastAsia" w:hAnsiTheme="minorHAnsi" w:cstheme="minorHAnsi"/>
          <w:sz w:val="24"/>
          <w:szCs w:val="24"/>
        </w:rPr>
        <w:t>roject.”</w:t>
      </w:r>
    </w:p>
    <w:p w:rsidR="00EB28F7" w:rsidRDefault="00EB28F7" w:rsidP="00EB28F7">
      <w:pPr>
        <w:spacing w:after="0"/>
        <w:rPr>
          <w:rFonts w:asciiTheme="minorHAnsi" w:eastAsiaTheme="minorEastAsia" w:hAnsiTheme="minorHAnsi" w:cstheme="minorHAnsi"/>
          <w:sz w:val="24"/>
          <w:szCs w:val="24"/>
        </w:rPr>
      </w:pPr>
    </w:p>
    <w:p w:rsidR="00EB28F7" w:rsidRDefault="00EB28F7" w:rsidP="00EB28F7">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The liquefaction plant and </w:t>
      </w:r>
      <w:r w:rsidR="00907692">
        <w:rPr>
          <w:rFonts w:asciiTheme="minorHAnsi" w:eastAsiaTheme="minorEastAsia" w:hAnsiTheme="minorHAnsi" w:cstheme="minorHAnsi"/>
          <w:sz w:val="24"/>
          <w:szCs w:val="24"/>
        </w:rPr>
        <w:t xml:space="preserve">accompanying </w:t>
      </w:r>
      <w:r>
        <w:rPr>
          <w:rFonts w:asciiTheme="minorHAnsi" w:eastAsiaTheme="minorEastAsia" w:hAnsiTheme="minorHAnsi" w:cstheme="minorHAnsi"/>
          <w:sz w:val="24"/>
          <w:szCs w:val="24"/>
        </w:rPr>
        <w:t>marine terminal is the most expensive piece of the entire project, more than twice the cost of the pipeline, according to AGDC estimates.</w:t>
      </w:r>
    </w:p>
    <w:p w:rsidR="00EB28F7" w:rsidRDefault="00EB28F7" w:rsidP="00EB28F7">
      <w:pPr>
        <w:spacing w:after="0"/>
        <w:rPr>
          <w:rFonts w:asciiTheme="minorHAnsi" w:eastAsiaTheme="minorEastAsia" w:hAnsiTheme="minorHAnsi" w:cstheme="minorHAnsi"/>
          <w:sz w:val="24"/>
          <w:szCs w:val="24"/>
        </w:rPr>
      </w:pPr>
    </w:p>
    <w:p w:rsidR="003605A8" w:rsidRPr="003605A8" w:rsidRDefault="003605A8" w:rsidP="001B29CB">
      <w:pPr>
        <w:spacing w:after="0"/>
        <w:rPr>
          <w:rFonts w:asciiTheme="minorHAnsi" w:eastAsiaTheme="minorEastAsia" w:hAnsiTheme="minorHAnsi" w:cstheme="minorHAnsi"/>
          <w:b/>
          <w:sz w:val="24"/>
          <w:szCs w:val="24"/>
        </w:rPr>
      </w:pPr>
      <w:r w:rsidRPr="003605A8">
        <w:rPr>
          <w:rFonts w:asciiTheme="minorHAnsi" w:eastAsiaTheme="minorEastAsia" w:hAnsiTheme="minorHAnsi" w:cstheme="minorHAnsi"/>
          <w:b/>
          <w:sz w:val="24"/>
          <w:szCs w:val="24"/>
        </w:rPr>
        <w:t>AGDC NEARS END OF DATA REQUESTS</w:t>
      </w:r>
    </w:p>
    <w:p w:rsidR="003605A8" w:rsidRDefault="003605A8" w:rsidP="001B29CB">
      <w:pPr>
        <w:spacing w:after="0"/>
        <w:rPr>
          <w:rFonts w:asciiTheme="minorHAnsi" w:eastAsiaTheme="minorEastAsia" w:hAnsiTheme="minorHAnsi" w:cstheme="minorHAnsi"/>
          <w:sz w:val="24"/>
          <w:szCs w:val="24"/>
        </w:rPr>
      </w:pPr>
    </w:p>
    <w:p w:rsidR="006126EC" w:rsidRPr="001B29CB" w:rsidRDefault="00177D2B" w:rsidP="001B29CB">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 xml:space="preserve">While now having to deal with </w:t>
      </w:r>
      <w:r w:rsidR="002E0C69">
        <w:rPr>
          <w:rFonts w:asciiTheme="minorHAnsi" w:eastAsiaTheme="minorEastAsia" w:hAnsiTheme="minorHAnsi" w:cstheme="minorHAnsi"/>
          <w:sz w:val="24"/>
          <w:szCs w:val="24"/>
        </w:rPr>
        <w:t>the</w:t>
      </w:r>
      <w:r w:rsidR="00A331A8" w:rsidRPr="001B29CB">
        <w:rPr>
          <w:rFonts w:asciiTheme="minorHAnsi" w:eastAsiaTheme="minorEastAsia" w:hAnsiTheme="minorHAnsi" w:cstheme="minorHAnsi"/>
          <w:sz w:val="24"/>
          <w:szCs w:val="24"/>
        </w:rPr>
        <w:t xml:space="preserve"> </w:t>
      </w:r>
      <w:r w:rsidRPr="001B29CB">
        <w:rPr>
          <w:rFonts w:asciiTheme="minorHAnsi" w:eastAsiaTheme="minorEastAsia" w:hAnsiTheme="minorHAnsi" w:cstheme="minorHAnsi"/>
          <w:sz w:val="24"/>
          <w:szCs w:val="24"/>
        </w:rPr>
        <w:t xml:space="preserve">Matanuska-Susitna Borough’s heightened push for a change in the plant site, </w:t>
      </w:r>
      <w:r w:rsidR="003605A8">
        <w:rPr>
          <w:rFonts w:asciiTheme="minorHAnsi" w:eastAsiaTheme="minorEastAsia" w:hAnsiTheme="minorHAnsi" w:cstheme="minorHAnsi"/>
          <w:sz w:val="24"/>
          <w:szCs w:val="24"/>
        </w:rPr>
        <w:t>AGDC</w:t>
      </w:r>
      <w:r w:rsidR="006126EC" w:rsidRPr="001B29CB">
        <w:rPr>
          <w:rFonts w:asciiTheme="minorHAnsi" w:eastAsiaTheme="minorEastAsia" w:hAnsiTheme="minorHAnsi" w:cstheme="minorHAnsi"/>
          <w:sz w:val="24"/>
          <w:szCs w:val="24"/>
        </w:rPr>
        <w:t xml:space="preserve"> is nearing the end of </w:t>
      </w:r>
      <w:r w:rsidR="00A8313A" w:rsidRPr="001B29CB">
        <w:rPr>
          <w:rFonts w:asciiTheme="minorHAnsi" w:eastAsiaTheme="minorEastAsia" w:hAnsiTheme="minorHAnsi" w:cstheme="minorHAnsi"/>
          <w:sz w:val="24"/>
          <w:szCs w:val="24"/>
        </w:rPr>
        <w:t>a</w:t>
      </w:r>
      <w:r w:rsidR="006126EC" w:rsidRPr="001B29CB">
        <w:rPr>
          <w:rFonts w:asciiTheme="minorHAnsi" w:eastAsiaTheme="minorEastAsia" w:hAnsiTheme="minorHAnsi" w:cstheme="minorHAnsi"/>
          <w:sz w:val="24"/>
          <w:szCs w:val="24"/>
        </w:rPr>
        <w:t xml:space="preserve"> six-month effort to fill in data gaps and respond to questions from federal regulators putting together the </w:t>
      </w:r>
      <w:r w:rsidR="003605A8">
        <w:rPr>
          <w:rFonts w:asciiTheme="minorHAnsi" w:eastAsiaTheme="minorEastAsia" w:hAnsiTheme="minorHAnsi" w:cstheme="minorHAnsi"/>
          <w:sz w:val="24"/>
          <w:szCs w:val="24"/>
        </w:rPr>
        <w:t xml:space="preserve">project’s </w:t>
      </w:r>
      <w:r w:rsidR="006126EC" w:rsidRPr="001B29CB">
        <w:rPr>
          <w:rFonts w:asciiTheme="minorHAnsi" w:eastAsiaTheme="minorEastAsia" w:hAnsiTheme="minorHAnsi" w:cstheme="minorHAnsi"/>
          <w:sz w:val="24"/>
          <w:szCs w:val="24"/>
        </w:rPr>
        <w:t xml:space="preserve">draft </w:t>
      </w:r>
      <w:r w:rsidR="008B55BD">
        <w:rPr>
          <w:rFonts w:asciiTheme="minorHAnsi" w:eastAsiaTheme="minorEastAsia" w:hAnsiTheme="minorHAnsi" w:cstheme="minorHAnsi"/>
          <w:sz w:val="24"/>
          <w:szCs w:val="24"/>
        </w:rPr>
        <w:t>EIS</w:t>
      </w:r>
      <w:r w:rsidR="006126EC" w:rsidRPr="001B29CB">
        <w:rPr>
          <w:rFonts w:asciiTheme="minorHAnsi" w:eastAsiaTheme="minorEastAsia" w:hAnsiTheme="minorHAnsi" w:cstheme="minorHAnsi"/>
          <w:sz w:val="24"/>
          <w:szCs w:val="24"/>
        </w:rPr>
        <w:t>.</w:t>
      </w:r>
    </w:p>
    <w:p w:rsidR="006126EC" w:rsidRPr="001B29CB" w:rsidRDefault="006126EC" w:rsidP="001B29CB">
      <w:pPr>
        <w:spacing w:after="0"/>
        <w:rPr>
          <w:rFonts w:asciiTheme="minorHAnsi" w:eastAsiaTheme="minorEastAsia" w:hAnsiTheme="minorHAnsi" w:cstheme="minorHAnsi"/>
          <w:sz w:val="24"/>
          <w:szCs w:val="24"/>
        </w:rPr>
      </w:pPr>
    </w:p>
    <w:p w:rsidR="008A4BE8" w:rsidRPr="001B29CB" w:rsidRDefault="003C1CCA" w:rsidP="001B29CB">
      <w:pPr>
        <w:spacing w:after="0"/>
        <w:rPr>
          <w:rFonts w:asciiTheme="minorHAnsi" w:eastAsia="Times New Roman" w:hAnsiTheme="minorHAnsi" w:cstheme="minorHAnsi"/>
          <w:color w:val="333333"/>
          <w:sz w:val="24"/>
          <w:szCs w:val="24"/>
        </w:rPr>
      </w:pPr>
      <w:r w:rsidRPr="001B29CB">
        <w:rPr>
          <w:rFonts w:asciiTheme="minorHAnsi" w:eastAsiaTheme="minorEastAsia" w:hAnsiTheme="minorHAnsi" w:cstheme="minorHAnsi"/>
          <w:sz w:val="24"/>
          <w:szCs w:val="24"/>
        </w:rPr>
        <w:t>A</w:t>
      </w:r>
      <w:r w:rsidR="008B55BD">
        <w:rPr>
          <w:rFonts w:asciiTheme="minorHAnsi" w:eastAsiaTheme="minorEastAsia" w:hAnsiTheme="minorHAnsi" w:cstheme="minorHAnsi"/>
          <w:sz w:val="24"/>
          <w:szCs w:val="24"/>
        </w:rPr>
        <w:t xml:space="preserve">fter </w:t>
      </w:r>
      <w:r w:rsidR="003605A8">
        <w:rPr>
          <w:rFonts w:asciiTheme="minorHAnsi" w:eastAsiaTheme="minorEastAsia" w:hAnsiTheme="minorHAnsi" w:cstheme="minorHAnsi"/>
          <w:sz w:val="24"/>
          <w:szCs w:val="24"/>
        </w:rPr>
        <w:t>the state</w:t>
      </w:r>
      <w:r w:rsidRPr="001B29CB">
        <w:rPr>
          <w:rFonts w:asciiTheme="minorHAnsi" w:eastAsiaTheme="minorEastAsia" w:hAnsiTheme="minorHAnsi" w:cstheme="minorHAnsi"/>
          <w:sz w:val="24"/>
          <w:szCs w:val="24"/>
        </w:rPr>
        <w:t xml:space="preserve"> </w:t>
      </w:r>
      <w:r w:rsidR="00343EFE" w:rsidRPr="001B29CB">
        <w:rPr>
          <w:rFonts w:asciiTheme="minorHAnsi" w:eastAsiaTheme="minorEastAsia" w:hAnsiTheme="minorHAnsi" w:cstheme="minorHAnsi"/>
          <w:sz w:val="24"/>
          <w:szCs w:val="24"/>
        </w:rPr>
        <w:t xml:space="preserve">submitted its application to </w:t>
      </w:r>
      <w:r w:rsidR="008B55BD">
        <w:rPr>
          <w:rFonts w:asciiTheme="minorHAnsi" w:eastAsiaTheme="minorEastAsia" w:hAnsiTheme="minorHAnsi" w:cstheme="minorHAnsi"/>
          <w:sz w:val="24"/>
          <w:szCs w:val="24"/>
        </w:rPr>
        <w:t>FERC</w:t>
      </w:r>
      <w:r w:rsidR="003605A8">
        <w:rPr>
          <w:rFonts w:asciiTheme="minorHAnsi" w:eastAsiaTheme="minorEastAsia" w:hAnsiTheme="minorHAnsi" w:cstheme="minorHAnsi"/>
          <w:sz w:val="24"/>
          <w:szCs w:val="24"/>
        </w:rPr>
        <w:t xml:space="preserve"> in April</w:t>
      </w:r>
      <w:r w:rsidR="00343EFE" w:rsidRPr="001B29CB">
        <w:rPr>
          <w:rFonts w:asciiTheme="minorHAnsi" w:eastAsiaTheme="minorEastAsia" w:hAnsiTheme="minorHAnsi" w:cstheme="minorHAnsi"/>
          <w:sz w:val="24"/>
          <w:szCs w:val="24"/>
        </w:rPr>
        <w:t xml:space="preserve">, </w:t>
      </w:r>
      <w:r w:rsidR="008B55BD">
        <w:rPr>
          <w:rFonts w:asciiTheme="minorHAnsi" w:eastAsiaTheme="minorEastAsia" w:hAnsiTheme="minorHAnsi" w:cstheme="minorHAnsi"/>
          <w:sz w:val="24"/>
          <w:szCs w:val="24"/>
        </w:rPr>
        <w:t>regulators started sending back</w:t>
      </w:r>
      <w:r w:rsidR="00343EFE" w:rsidRPr="001B29CB">
        <w:rPr>
          <w:rFonts w:asciiTheme="minorHAnsi" w:eastAsiaTheme="minorEastAsia" w:hAnsiTheme="minorHAnsi" w:cstheme="minorHAnsi"/>
          <w:sz w:val="24"/>
          <w:szCs w:val="24"/>
        </w:rPr>
        <w:t xml:space="preserve"> questions in July, continuing into late summer and totaling 801 requests for </w:t>
      </w:r>
      <w:r w:rsidR="00F079C6" w:rsidRPr="001B29CB">
        <w:rPr>
          <w:rFonts w:asciiTheme="minorHAnsi" w:eastAsiaTheme="minorEastAsia" w:hAnsiTheme="minorHAnsi" w:cstheme="minorHAnsi"/>
          <w:sz w:val="24"/>
          <w:szCs w:val="24"/>
        </w:rPr>
        <w:t xml:space="preserve">additional information for </w:t>
      </w:r>
      <w:r w:rsidRPr="001B29CB">
        <w:rPr>
          <w:rFonts w:asciiTheme="minorHAnsi" w:eastAsiaTheme="minorEastAsia" w:hAnsiTheme="minorHAnsi" w:cstheme="minorHAnsi"/>
          <w:sz w:val="24"/>
          <w:szCs w:val="24"/>
        </w:rPr>
        <w:t>the complex and detailed environmental review.</w:t>
      </w:r>
      <w:r w:rsidR="00307E50">
        <w:rPr>
          <w:rFonts w:asciiTheme="minorHAnsi" w:eastAsiaTheme="minorEastAsia" w:hAnsiTheme="minorHAnsi" w:cstheme="minorHAnsi"/>
          <w:sz w:val="24"/>
          <w:szCs w:val="24"/>
        </w:rPr>
        <w:t xml:space="preserve"> </w:t>
      </w:r>
      <w:r w:rsidRPr="001B29CB">
        <w:rPr>
          <w:rFonts w:asciiTheme="minorHAnsi" w:eastAsiaTheme="minorEastAsia" w:hAnsiTheme="minorHAnsi" w:cstheme="minorHAnsi"/>
          <w:sz w:val="24"/>
          <w:szCs w:val="24"/>
        </w:rPr>
        <w:t xml:space="preserve"> As of its responses to FERC on Dec. 29, the state was down to 13 unanswered </w:t>
      </w:r>
      <w:r w:rsidR="002E0C69">
        <w:rPr>
          <w:rFonts w:asciiTheme="minorHAnsi" w:eastAsiaTheme="minorEastAsia" w:hAnsiTheme="minorHAnsi" w:cstheme="minorHAnsi"/>
          <w:sz w:val="24"/>
          <w:szCs w:val="24"/>
        </w:rPr>
        <w:t>data requests</w:t>
      </w:r>
      <w:r w:rsidRPr="001B29CB">
        <w:rPr>
          <w:rFonts w:asciiTheme="minorHAnsi" w:eastAsiaTheme="minorEastAsia" w:hAnsiTheme="minorHAnsi" w:cstheme="minorHAnsi"/>
          <w:sz w:val="24"/>
          <w:szCs w:val="24"/>
        </w:rPr>
        <w:t>, with</w:t>
      </w:r>
      <w:r w:rsidR="008B55BD">
        <w:rPr>
          <w:rFonts w:asciiTheme="minorHAnsi" w:eastAsiaTheme="minorEastAsia" w:hAnsiTheme="minorHAnsi" w:cstheme="minorHAnsi"/>
          <w:sz w:val="24"/>
          <w:szCs w:val="24"/>
        </w:rPr>
        <w:t xml:space="preserve"> those</w:t>
      </w:r>
      <w:r w:rsidRPr="001B29CB">
        <w:rPr>
          <w:rFonts w:asciiTheme="minorHAnsi" w:eastAsiaTheme="minorEastAsia" w:hAnsiTheme="minorHAnsi" w:cstheme="minorHAnsi"/>
          <w:sz w:val="24"/>
          <w:szCs w:val="24"/>
        </w:rPr>
        <w:t xml:space="preserve"> responses promised by Feb. 1.</w:t>
      </w:r>
      <w:r w:rsidR="008F2D1A" w:rsidRPr="001B29CB">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771AFD" w:rsidRPr="001B29CB">
        <w:rPr>
          <w:rFonts w:asciiTheme="minorHAnsi" w:eastAsiaTheme="minorEastAsia" w:hAnsiTheme="minorHAnsi" w:cstheme="minorHAnsi"/>
          <w:sz w:val="24"/>
          <w:szCs w:val="24"/>
        </w:rPr>
        <w:t>FERC</w:t>
      </w:r>
      <w:r w:rsidR="003605A8">
        <w:rPr>
          <w:rFonts w:asciiTheme="minorHAnsi" w:eastAsiaTheme="minorEastAsia" w:hAnsiTheme="minorHAnsi" w:cstheme="minorHAnsi"/>
          <w:sz w:val="24"/>
          <w:szCs w:val="24"/>
        </w:rPr>
        <w:t>, however,</w:t>
      </w:r>
      <w:r w:rsidR="00771AFD" w:rsidRPr="001B29CB">
        <w:rPr>
          <w:rFonts w:asciiTheme="minorHAnsi" w:eastAsiaTheme="minorEastAsia" w:hAnsiTheme="minorHAnsi" w:cstheme="minorHAnsi"/>
          <w:sz w:val="24"/>
          <w:szCs w:val="24"/>
        </w:rPr>
        <w:t xml:space="preserve"> has </w:t>
      </w:r>
      <w:r w:rsidR="0072183F">
        <w:rPr>
          <w:rFonts w:asciiTheme="minorHAnsi" w:eastAsiaTheme="minorEastAsia" w:hAnsiTheme="minorHAnsi" w:cstheme="minorHAnsi"/>
          <w:sz w:val="24"/>
          <w:szCs w:val="24"/>
        </w:rPr>
        <w:t xml:space="preserve">consistently </w:t>
      </w:r>
      <w:r w:rsidR="00771AFD" w:rsidRPr="001B29CB">
        <w:rPr>
          <w:rFonts w:asciiTheme="minorHAnsi" w:eastAsiaTheme="minorEastAsia" w:hAnsiTheme="minorHAnsi" w:cstheme="minorHAnsi"/>
          <w:sz w:val="24"/>
          <w:szCs w:val="24"/>
        </w:rPr>
        <w:t xml:space="preserve">reminded AGDC that it </w:t>
      </w:r>
      <w:r w:rsidR="008A4BE8" w:rsidRPr="001B29CB">
        <w:rPr>
          <w:rFonts w:asciiTheme="minorHAnsi" w:eastAsia="Times New Roman" w:hAnsiTheme="minorHAnsi" w:cstheme="minorHAnsi"/>
          <w:color w:val="000000"/>
          <w:sz w:val="24"/>
          <w:szCs w:val="24"/>
        </w:rPr>
        <w:t>“may be subject to additional data requests.”</w:t>
      </w:r>
    </w:p>
    <w:p w:rsidR="008A4BE8" w:rsidRPr="001B29CB" w:rsidRDefault="008A4BE8" w:rsidP="001B29CB">
      <w:pPr>
        <w:spacing w:after="0"/>
        <w:rPr>
          <w:rFonts w:asciiTheme="minorHAnsi" w:eastAsia="Times New Roman" w:hAnsiTheme="minorHAnsi" w:cstheme="minorHAnsi"/>
          <w:color w:val="333333"/>
          <w:sz w:val="24"/>
          <w:szCs w:val="24"/>
        </w:rPr>
      </w:pPr>
    </w:p>
    <w:p w:rsidR="00F079C6" w:rsidRPr="001B29CB" w:rsidRDefault="00F079C6" w:rsidP="001B29CB">
      <w:pPr>
        <w:spacing w:after="0"/>
        <w:rPr>
          <w:rFonts w:asciiTheme="minorHAnsi" w:eastAsiaTheme="minorEastAsia" w:hAnsiTheme="minorHAnsi" w:cstheme="minorHAnsi"/>
          <w:sz w:val="24"/>
          <w:szCs w:val="24"/>
        </w:rPr>
      </w:pPr>
      <w:r w:rsidRPr="001B29CB">
        <w:rPr>
          <w:rFonts w:asciiTheme="minorHAnsi" w:eastAsiaTheme="minorEastAsia" w:hAnsiTheme="minorHAnsi" w:cstheme="minorHAnsi"/>
          <w:sz w:val="24"/>
          <w:szCs w:val="24"/>
        </w:rPr>
        <w:t>When federal regulators determine they have sufficient information to set out a timeline for the EIS, the commission will issue a Notice of Schedule for Environmental Review</w:t>
      </w:r>
      <w:r w:rsidR="001B29CB" w:rsidRPr="001B29CB">
        <w:rPr>
          <w:rFonts w:asciiTheme="minorHAnsi" w:eastAsiaTheme="minorEastAsia" w:hAnsiTheme="minorHAnsi" w:cstheme="minorHAnsi"/>
          <w:sz w:val="24"/>
          <w:szCs w:val="24"/>
        </w:rPr>
        <w:t xml:space="preserve">, which will include a date for issuing the final </w:t>
      </w:r>
      <w:r w:rsidR="00907692">
        <w:rPr>
          <w:rFonts w:asciiTheme="minorHAnsi" w:eastAsiaTheme="minorEastAsia" w:hAnsiTheme="minorHAnsi" w:cstheme="minorHAnsi"/>
          <w:sz w:val="24"/>
          <w:szCs w:val="24"/>
        </w:rPr>
        <w:t>impact statement</w:t>
      </w:r>
      <w:r w:rsidRPr="001B29CB">
        <w:rPr>
          <w:rFonts w:asciiTheme="minorHAnsi" w:eastAsiaTheme="minorEastAsia" w:hAnsiTheme="minorHAnsi" w:cstheme="minorHAnsi"/>
          <w:sz w:val="24"/>
          <w:szCs w:val="24"/>
        </w:rPr>
        <w:t>.</w:t>
      </w:r>
      <w:r w:rsidR="00307E50">
        <w:rPr>
          <w:rFonts w:asciiTheme="minorHAnsi" w:eastAsiaTheme="minorEastAsia" w:hAnsiTheme="minorHAnsi" w:cstheme="minorHAnsi"/>
          <w:sz w:val="24"/>
          <w:szCs w:val="24"/>
        </w:rPr>
        <w:t xml:space="preserve"> </w:t>
      </w:r>
      <w:r w:rsidR="008A4BE8" w:rsidRPr="001B29CB">
        <w:rPr>
          <w:rFonts w:asciiTheme="minorHAnsi" w:eastAsiaTheme="minorEastAsia" w:hAnsiTheme="minorHAnsi" w:cstheme="minorHAnsi"/>
          <w:sz w:val="24"/>
          <w:szCs w:val="24"/>
        </w:rPr>
        <w:t xml:space="preserve"> The state </w:t>
      </w:r>
      <w:r w:rsidR="001B29CB" w:rsidRPr="001B29CB">
        <w:rPr>
          <w:rFonts w:asciiTheme="minorHAnsi" w:eastAsiaTheme="minorEastAsia" w:hAnsiTheme="minorHAnsi" w:cstheme="minorHAnsi"/>
          <w:sz w:val="24"/>
          <w:szCs w:val="24"/>
        </w:rPr>
        <w:t xml:space="preserve">asked for an expedited process when it filed its application and </w:t>
      </w:r>
      <w:r w:rsidR="008A4BE8" w:rsidRPr="001B29CB">
        <w:rPr>
          <w:rFonts w:asciiTheme="minorHAnsi" w:eastAsiaTheme="minorEastAsia" w:hAnsiTheme="minorHAnsi" w:cstheme="minorHAnsi"/>
          <w:sz w:val="24"/>
          <w:szCs w:val="24"/>
        </w:rPr>
        <w:t xml:space="preserve">has been </w:t>
      </w:r>
      <w:r w:rsidR="001B29CB" w:rsidRPr="001B29CB">
        <w:rPr>
          <w:rFonts w:asciiTheme="minorHAnsi" w:eastAsiaTheme="minorEastAsia" w:hAnsiTheme="minorHAnsi" w:cstheme="minorHAnsi"/>
          <w:sz w:val="24"/>
          <w:szCs w:val="24"/>
        </w:rPr>
        <w:t>pushing</w:t>
      </w:r>
      <w:r w:rsidR="008A4BE8" w:rsidRPr="001B29CB">
        <w:rPr>
          <w:rFonts w:asciiTheme="minorHAnsi" w:eastAsiaTheme="minorEastAsia" w:hAnsiTheme="minorHAnsi" w:cstheme="minorHAnsi"/>
          <w:sz w:val="24"/>
          <w:szCs w:val="24"/>
        </w:rPr>
        <w:t xml:space="preserve"> for</w:t>
      </w:r>
      <w:r w:rsidR="003605A8">
        <w:rPr>
          <w:rFonts w:asciiTheme="minorHAnsi" w:eastAsiaTheme="minorEastAsia" w:hAnsiTheme="minorHAnsi" w:cstheme="minorHAnsi"/>
          <w:sz w:val="24"/>
          <w:szCs w:val="24"/>
        </w:rPr>
        <w:t xml:space="preserve"> FERC to issue</w:t>
      </w:r>
      <w:r w:rsidR="008A4BE8" w:rsidRPr="001B29CB">
        <w:rPr>
          <w:rFonts w:asciiTheme="minorHAnsi" w:eastAsiaTheme="minorEastAsia" w:hAnsiTheme="minorHAnsi" w:cstheme="minorHAnsi"/>
          <w:sz w:val="24"/>
          <w:szCs w:val="24"/>
        </w:rPr>
        <w:t xml:space="preserve"> </w:t>
      </w:r>
      <w:r w:rsidR="001B29CB" w:rsidRPr="001B29CB">
        <w:rPr>
          <w:rFonts w:asciiTheme="minorHAnsi" w:eastAsiaTheme="minorEastAsia" w:hAnsiTheme="minorHAnsi" w:cstheme="minorHAnsi"/>
          <w:sz w:val="24"/>
          <w:szCs w:val="24"/>
        </w:rPr>
        <w:t>the final EIS by December 2018.</w:t>
      </w:r>
    </w:p>
    <w:p w:rsidR="00C111BA" w:rsidRPr="001B29CB" w:rsidRDefault="00C111BA" w:rsidP="001B29CB">
      <w:pPr>
        <w:spacing w:after="0"/>
        <w:rPr>
          <w:rFonts w:asciiTheme="minorHAnsi" w:eastAsiaTheme="minorEastAsia" w:hAnsiTheme="minorHAnsi" w:cstheme="minorHAnsi"/>
          <w:sz w:val="24"/>
          <w:szCs w:val="24"/>
        </w:rPr>
      </w:pPr>
    </w:p>
    <w:p w:rsidR="00C111BA" w:rsidRPr="001B29CB" w:rsidRDefault="001B29CB" w:rsidP="001B29CB">
      <w:pPr>
        <w:spacing w:after="0"/>
        <w:rPr>
          <w:rFonts w:asciiTheme="minorHAnsi" w:hAnsiTheme="minorHAnsi" w:cstheme="minorHAnsi"/>
          <w:color w:val="333333"/>
          <w:sz w:val="24"/>
          <w:szCs w:val="24"/>
        </w:rPr>
      </w:pPr>
      <w:r w:rsidRPr="001B29CB">
        <w:rPr>
          <w:rFonts w:asciiTheme="minorHAnsi" w:eastAsiaTheme="minorEastAsia" w:hAnsiTheme="minorHAnsi" w:cstheme="minorHAnsi"/>
          <w:sz w:val="24"/>
          <w:szCs w:val="24"/>
        </w:rPr>
        <w:t>“</w:t>
      </w:r>
      <w:r w:rsidR="00C111BA" w:rsidRPr="001B29CB">
        <w:rPr>
          <w:rFonts w:asciiTheme="minorHAnsi" w:hAnsiTheme="minorHAnsi" w:cstheme="minorHAnsi"/>
          <w:color w:val="000000"/>
          <w:sz w:val="24"/>
          <w:szCs w:val="24"/>
        </w:rPr>
        <w:t>To allow for the construction of the project to meet that in-service date</w:t>
      </w:r>
      <w:r w:rsidRPr="001B29CB">
        <w:rPr>
          <w:rFonts w:asciiTheme="minorHAnsi" w:hAnsiTheme="minorHAnsi" w:cstheme="minorHAnsi"/>
          <w:color w:val="000000"/>
          <w:sz w:val="24"/>
          <w:szCs w:val="24"/>
        </w:rPr>
        <w:t xml:space="preserve"> (2024)</w:t>
      </w:r>
      <w:r w:rsidR="00C111BA" w:rsidRPr="001B29CB">
        <w:rPr>
          <w:rFonts w:asciiTheme="minorHAnsi" w:hAnsiTheme="minorHAnsi" w:cstheme="minorHAnsi"/>
          <w:color w:val="000000"/>
          <w:sz w:val="24"/>
          <w:szCs w:val="24"/>
        </w:rPr>
        <w:t xml:space="preserve">, AGDC requests FERC to grant the requested authorization no later than December 31, 2018,” the state corporation said in </w:t>
      </w:r>
      <w:r w:rsidR="008B55BD">
        <w:rPr>
          <w:rFonts w:asciiTheme="minorHAnsi" w:hAnsiTheme="minorHAnsi" w:cstheme="minorHAnsi"/>
          <w:color w:val="000000"/>
          <w:sz w:val="24"/>
          <w:szCs w:val="24"/>
        </w:rPr>
        <w:t>its</w:t>
      </w:r>
      <w:r w:rsidR="00C111BA" w:rsidRPr="001B29CB">
        <w:rPr>
          <w:rFonts w:asciiTheme="minorHAnsi" w:hAnsiTheme="minorHAnsi" w:cstheme="minorHAnsi"/>
          <w:color w:val="000000"/>
          <w:sz w:val="24"/>
          <w:szCs w:val="24"/>
        </w:rPr>
        <w:t xml:space="preserve"> cover letter accompanying </w:t>
      </w:r>
      <w:r w:rsidR="003605A8">
        <w:rPr>
          <w:rFonts w:asciiTheme="minorHAnsi" w:hAnsiTheme="minorHAnsi" w:cstheme="minorHAnsi"/>
          <w:color w:val="000000"/>
          <w:sz w:val="24"/>
          <w:szCs w:val="24"/>
        </w:rPr>
        <w:t>the</w:t>
      </w:r>
      <w:r w:rsidR="00C111BA" w:rsidRPr="001B29CB">
        <w:rPr>
          <w:rFonts w:asciiTheme="minorHAnsi" w:hAnsiTheme="minorHAnsi" w:cstheme="minorHAnsi"/>
          <w:color w:val="000000"/>
          <w:sz w:val="24"/>
          <w:szCs w:val="24"/>
        </w:rPr>
        <w:t xml:space="preserve"> application.</w:t>
      </w:r>
    </w:p>
    <w:p w:rsidR="00C111BA" w:rsidRPr="001B29CB" w:rsidRDefault="00C111BA" w:rsidP="001B29CB">
      <w:pPr>
        <w:spacing w:after="0"/>
        <w:rPr>
          <w:rFonts w:asciiTheme="minorHAnsi" w:eastAsia="Times New Roman" w:hAnsiTheme="minorHAnsi" w:cstheme="minorHAnsi"/>
          <w:color w:val="333333"/>
          <w:sz w:val="24"/>
          <w:szCs w:val="24"/>
        </w:rPr>
      </w:pPr>
    </w:p>
    <w:p w:rsidR="00C111BA" w:rsidRDefault="001B29CB" w:rsidP="001B29CB">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Though FERC has not issued a timeline for its environmental review</w:t>
      </w:r>
      <w:r w:rsidR="002E0C69">
        <w:rPr>
          <w:rFonts w:asciiTheme="minorHAnsi" w:eastAsiaTheme="minorEastAsia" w:hAnsiTheme="minorHAnsi" w:cstheme="minorHAnsi"/>
          <w:sz w:val="24"/>
          <w:szCs w:val="24"/>
        </w:rPr>
        <w:t xml:space="preserve">, commission staff and its EIS contractor have been working to review the state’s responses and additional data, compiling what will become the draft EIS. </w:t>
      </w:r>
      <w:r w:rsidR="00307E50">
        <w:rPr>
          <w:rFonts w:asciiTheme="minorHAnsi" w:eastAsiaTheme="minorEastAsia" w:hAnsiTheme="minorHAnsi" w:cstheme="minorHAnsi"/>
          <w:sz w:val="24"/>
          <w:szCs w:val="24"/>
        </w:rPr>
        <w:t xml:space="preserve"> </w:t>
      </w:r>
      <w:r w:rsidR="002E0C69">
        <w:rPr>
          <w:rFonts w:asciiTheme="minorHAnsi" w:eastAsiaTheme="minorEastAsia" w:hAnsiTheme="minorHAnsi" w:cstheme="minorHAnsi"/>
          <w:sz w:val="24"/>
          <w:szCs w:val="24"/>
        </w:rPr>
        <w:t>Under federal procedures, FERC staff directs the third-party EIS contractor, which sends its bills to the applicant (AGDC) for payment.</w:t>
      </w:r>
    </w:p>
    <w:p w:rsidR="001B29CB" w:rsidRDefault="001B29CB" w:rsidP="001B29CB">
      <w:pPr>
        <w:spacing w:after="0"/>
        <w:rPr>
          <w:rFonts w:asciiTheme="minorHAnsi" w:eastAsiaTheme="minorEastAsia" w:hAnsiTheme="minorHAnsi" w:cstheme="minorHAnsi"/>
          <w:sz w:val="24"/>
          <w:szCs w:val="24"/>
        </w:rPr>
      </w:pPr>
    </w:p>
    <w:p w:rsidR="001B29CB" w:rsidRDefault="00501E6B" w:rsidP="001B29CB">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AGDC s</w:t>
      </w:r>
      <w:r w:rsidR="0050659F">
        <w:rPr>
          <w:rFonts w:asciiTheme="minorHAnsi" w:eastAsiaTheme="minorEastAsia" w:hAnsiTheme="minorHAnsi" w:cstheme="minorHAnsi"/>
          <w:sz w:val="24"/>
          <w:szCs w:val="24"/>
        </w:rPr>
        <w:t xml:space="preserve">taff reported to the board </w:t>
      </w:r>
      <w:r>
        <w:rPr>
          <w:rFonts w:asciiTheme="minorHAnsi" w:eastAsiaTheme="minorEastAsia" w:hAnsiTheme="minorHAnsi" w:cstheme="minorHAnsi"/>
          <w:sz w:val="24"/>
          <w:szCs w:val="24"/>
        </w:rPr>
        <w:t xml:space="preserve">of directors </w:t>
      </w:r>
      <w:r w:rsidR="0050659F">
        <w:rPr>
          <w:rFonts w:asciiTheme="minorHAnsi" w:eastAsiaTheme="minorEastAsia" w:hAnsiTheme="minorHAnsi" w:cstheme="minorHAnsi"/>
          <w:sz w:val="24"/>
          <w:szCs w:val="24"/>
        </w:rPr>
        <w:t xml:space="preserve">in December that </w:t>
      </w:r>
      <w:proofErr w:type="gramStart"/>
      <w:r w:rsidR="0050659F">
        <w:rPr>
          <w:rFonts w:asciiTheme="minorHAnsi" w:eastAsiaTheme="minorEastAsia" w:hAnsiTheme="minorHAnsi" w:cstheme="minorHAnsi"/>
          <w:sz w:val="24"/>
          <w:szCs w:val="24"/>
        </w:rPr>
        <w:t>its</w:t>
      </w:r>
      <w:proofErr w:type="gramEnd"/>
      <w:r w:rsidR="0050659F">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spending on regulatory work would continue at about $1.5 million a month in </w:t>
      </w:r>
      <w:r w:rsidR="0050659F">
        <w:rPr>
          <w:rFonts w:asciiTheme="minorHAnsi" w:eastAsiaTheme="minorEastAsia" w:hAnsiTheme="minorHAnsi" w:cstheme="minorHAnsi"/>
          <w:sz w:val="24"/>
          <w:szCs w:val="24"/>
        </w:rPr>
        <w:t>2018</w:t>
      </w:r>
      <w:r>
        <w:rPr>
          <w:rFonts w:asciiTheme="minorHAnsi" w:eastAsiaTheme="minorEastAsia" w:hAnsiTheme="minorHAnsi" w:cstheme="minorHAnsi"/>
          <w:sz w:val="24"/>
          <w:szCs w:val="24"/>
        </w:rPr>
        <w:t xml:space="preserve">, similar to 2017. </w:t>
      </w:r>
      <w:r w:rsidR="00307E50">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Total</w:t>
      </w:r>
      <w:r w:rsidR="0050659F">
        <w:rPr>
          <w:rFonts w:asciiTheme="minorHAnsi" w:eastAsiaTheme="minorEastAsia" w:hAnsiTheme="minorHAnsi" w:cstheme="minorHAnsi"/>
          <w:sz w:val="24"/>
          <w:szCs w:val="24"/>
        </w:rPr>
        <w:t xml:space="preserve"> spending would average about $5 million a month</w:t>
      </w:r>
      <w:r>
        <w:rPr>
          <w:rFonts w:asciiTheme="minorHAnsi" w:eastAsiaTheme="minorEastAsia" w:hAnsiTheme="minorHAnsi" w:cstheme="minorHAnsi"/>
          <w:sz w:val="24"/>
          <w:szCs w:val="24"/>
        </w:rPr>
        <w:t xml:space="preserve"> 2018</w:t>
      </w:r>
      <w:r w:rsidR="0050659F">
        <w:rPr>
          <w:rFonts w:asciiTheme="minorHAnsi" w:eastAsiaTheme="minorEastAsia" w:hAnsiTheme="minorHAnsi" w:cstheme="minorHAnsi"/>
          <w:sz w:val="24"/>
          <w:szCs w:val="24"/>
        </w:rPr>
        <w:t xml:space="preserve">, up from a $3 million monthly average in 2017. </w:t>
      </w:r>
    </w:p>
    <w:p w:rsidR="00501E6B" w:rsidRDefault="00501E6B" w:rsidP="001B29CB">
      <w:pPr>
        <w:spacing w:after="0"/>
        <w:rPr>
          <w:rFonts w:asciiTheme="minorHAnsi" w:eastAsiaTheme="minorEastAsia" w:hAnsiTheme="minorHAnsi" w:cstheme="minorHAnsi"/>
          <w:sz w:val="24"/>
          <w:szCs w:val="24"/>
        </w:rPr>
      </w:pPr>
    </w:p>
    <w:p w:rsidR="003605A8" w:rsidRPr="003605A8" w:rsidRDefault="003605A8" w:rsidP="007421B3">
      <w:pPr>
        <w:spacing w:after="0"/>
        <w:rPr>
          <w:rFonts w:asciiTheme="minorHAnsi" w:eastAsiaTheme="minorEastAsia" w:hAnsiTheme="minorHAnsi" w:cstheme="minorHAnsi"/>
          <w:b/>
          <w:sz w:val="24"/>
          <w:szCs w:val="24"/>
        </w:rPr>
      </w:pPr>
      <w:r w:rsidRPr="003605A8">
        <w:rPr>
          <w:rFonts w:asciiTheme="minorHAnsi" w:eastAsiaTheme="minorEastAsia" w:hAnsiTheme="minorHAnsi" w:cstheme="minorHAnsi"/>
          <w:b/>
          <w:sz w:val="24"/>
          <w:szCs w:val="24"/>
        </w:rPr>
        <w:t>AGDC’s DECEMBER RESPONSES TO FERC</w:t>
      </w:r>
    </w:p>
    <w:p w:rsidR="003605A8" w:rsidRDefault="003605A8" w:rsidP="007421B3">
      <w:pPr>
        <w:spacing w:after="0"/>
        <w:rPr>
          <w:rFonts w:asciiTheme="minorHAnsi" w:eastAsiaTheme="minorEastAsia" w:hAnsiTheme="minorHAnsi" w:cstheme="minorHAnsi"/>
          <w:sz w:val="24"/>
          <w:szCs w:val="24"/>
        </w:rPr>
      </w:pPr>
    </w:p>
    <w:p w:rsidR="007421B3" w:rsidRDefault="007421B3" w:rsidP="007421B3">
      <w:pPr>
        <w:spacing w:after="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The state’s project team in December submitted a large volume of data and additional project details to FERC, responding to questions presented by </w:t>
      </w:r>
      <w:r w:rsidR="00907692">
        <w:rPr>
          <w:rFonts w:asciiTheme="minorHAnsi" w:eastAsiaTheme="minorEastAsia" w:hAnsiTheme="minorHAnsi" w:cstheme="minorHAnsi"/>
          <w:sz w:val="24"/>
          <w:szCs w:val="24"/>
        </w:rPr>
        <w:t xml:space="preserve">federal </w:t>
      </w:r>
      <w:r>
        <w:rPr>
          <w:rFonts w:asciiTheme="minorHAnsi" w:eastAsiaTheme="minorEastAsia" w:hAnsiTheme="minorHAnsi" w:cstheme="minorHAnsi"/>
          <w:sz w:val="24"/>
          <w:szCs w:val="24"/>
        </w:rPr>
        <w:t>regulators last summer.</w:t>
      </w:r>
      <w:r w:rsidR="00307E50">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 That additional information </w:t>
      </w:r>
      <w:r w:rsidR="002E225A">
        <w:rPr>
          <w:rFonts w:asciiTheme="minorHAnsi" w:eastAsiaTheme="minorEastAsia" w:hAnsiTheme="minorHAnsi" w:cstheme="minorHAnsi"/>
          <w:sz w:val="24"/>
          <w:szCs w:val="24"/>
        </w:rPr>
        <w:t>covered a multitude of subjects, including:</w:t>
      </w:r>
    </w:p>
    <w:p w:rsidR="007421B3" w:rsidRDefault="007421B3" w:rsidP="007421B3">
      <w:pPr>
        <w:spacing w:after="0"/>
        <w:rPr>
          <w:rFonts w:asciiTheme="minorHAnsi" w:eastAsiaTheme="minorEastAsia" w:hAnsiTheme="minorHAnsi" w:cstheme="minorHAnsi"/>
          <w:sz w:val="24"/>
          <w:szCs w:val="24"/>
        </w:rPr>
      </w:pPr>
    </w:p>
    <w:p w:rsidR="007421B3" w:rsidRDefault="002E225A" w:rsidP="007421B3">
      <w:pPr>
        <w:spacing w:after="0"/>
        <w:rPr>
          <w:rFonts w:asciiTheme="minorHAnsi" w:eastAsiaTheme="minorEastAsia" w:hAnsiTheme="minorHAnsi" w:cstheme="minorHAnsi"/>
          <w:sz w:val="24"/>
          <w:szCs w:val="24"/>
        </w:rPr>
      </w:pPr>
      <w:r w:rsidRPr="002E225A">
        <w:rPr>
          <w:rFonts w:asciiTheme="minorHAnsi" w:eastAsiaTheme="minorEastAsia" w:hAnsiTheme="minorHAnsi" w:cstheme="minorHAnsi"/>
          <w:b/>
          <w:sz w:val="24"/>
          <w:szCs w:val="24"/>
        </w:rPr>
        <w:t>Pipeline</w:t>
      </w:r>
      <w:r>
        <w:rPr>
          <w:rFonts w:asciiTheme="minorHAnsi" w:eastAsiaTheme="minorEastAsia" w:hAnsiTheme="minorHAnsi" w:cstheme="minorHAnsi"/>
          <w:b/>
          <w:sz w:val="24"/>
          <w:szCs w:val="24"/>
        </w:rPr>
        <w:t xml:space="preserve"> impacts</w:t>
      </w:r>
      <w:r w:rsidRPr="002E225A">
        <w:rPr>
          <w:rFonts w:asciiTheme="minorHAnsi" w:eastAsiaTheme="minorEastAsia" w:hAnsiTheme="minorHAnsi" w:cstheme="minorHAnsi"/>
          <w:b/>
          <w:sz w:val="24"/>
          <w:szCs w:val="24"/>
        </w:rPr>
        <w:t>.</w:t>
      </w:r>
      <w:r>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3605A8">
        <w:rPr>
          <w:rFonts w:asciiTheme="minorHAnsi" w:eastAsiaTheme="minorEastAsia" w:hAnsiTheme="minorHAnsi" w:cstheme="minorHAnsi"/>
          <w:sz w:val="24"/>
          <w:szCs w:val="24"/>
        </w:rPr>
        <w:t xml:space="preserve">The state submitted </w:t>
      </w:r>
      <w:r w:rsidR="007421B3">
        <w:rPr>
          <w:rFonts w:asciiTheme="minorHAnsi" w:eastAsiaTheme="minorEastAsia" w:hAnsiTheme="minorHAnsi" w:cstheme="minorHAnsi"/>
          <w:sz w:val="24"/>
          <w:szCs w:val="24"/>
        </w:rPr>
        <w:t>24 pages of schedules showing timeline</w:t>
      </w:r>
      <w:r w:rsidR="003605A8">
        <w:rPr>
          <w:rFonts w:asciiTheme="minorHAnsi" w:eastAsiaTheme="minorEastAsia" w:hAnsiTheme="minorHAnsi" w:cstheme="minorHAnsi"/>
          <w:sz w:val="24"/>
          <w:szCs w:val="24"/>
        </w:rPr>
        <w:t>s</w:t>
      </w:r>
      <w:r w:rsidR="007421B3">
        <w:rPr>
          <w:rFonts w:asciiTheme="minorHAnsi" w:eastAsiaTheme="minorEastAsia" w:hAnsiTheme="minorHAnsi" w:cstheme="minorHAnsi"/>
          <w:sz w:val="24"/>
          <w:szCs w:val="24"/>
        </w:rPr>
        <w:t xml:space="preserve"> for </w:t>
      </w:r>
      <w:r w:rsidR="003605A8">
        <w:rPr>
          <w:rFonts w:asciiTheme="minorHAnsi" w:eastAsiaTheme="minorEastAsia" w:hAnsiTheme="minorHAnsi" w:cstheme="minorHAnsi"/>
          <w:sz w:val="24"/>
          <w:szCs w:val="24"/>
        </w:rPr>
        <w:t xml:space="preserve">pipeline </w:t>
      </w:r>
      <w:r w:rsidR="007421B3">
        <w:rPr>
          <w:rFonts w:asciiTheme="minorHAnsi" w:eastAsiaTheme="minorEastAsia" w:hAnsiTheme="minorHAnsi" w:cstheme="minorHAnsi"/>
          <w:sz w:val="24"/>
          <w:szCs w:val="24"/>
        </w:rPr>
        <w:t xml:space="preserve">right-of-way clearing, construction and restoration activities, including revegetation. </w:t>
      </w:r>
    </w:p>
    <w:p w:rsidR="002E225A" w:rsidRDefault="002E225A" w:rsidP="007421B3">
      <w:pPr>
        <w:spacing w:after="0"/>
        <w:rPr>
          <w:rFonts w:asciiTheme="minorHAnsi" w:eastAsiaTheme="minorEastAsia" w:hAnsiTheme="minorHAnsi" w:cstheme="minorHAnsi"/>
          <w:sz w:val="24"/>
          <w:szCs w:val="24"/>
        </w:rPr>
      </w:pPr>
    </w:p>
    <w:p w:rsidR="00685B69" w:rsidRDefault="00685B69" w:rsidP="00685B69">
      <w:pPr>
        <w:spacing w:after="0"/>
        <w:rPr>
          <w:rFonts w:asciiTheme="minorHAnsi" w:eastAsiaTheme="minorEastAsia" w:hAnsiTheme="minorHAnsi" w:cstheme="minorHAnsi"/>
          <w:sz w:val="24"/>
          <w:szCs w:val="24"/>
        </w:rPr>
      </w:pPr>
      <w:r w:rsidRPr="00685B69">
        <w:rPr>
          <w:rFonts w:asciiTheme="minorHAnsi" w:eastAsiaTheme="minorEastAsia" w:hAnsiTheme="minorHAnsi" w:cstheme="minorHAnsi"/>
          <w:b/>
          <w:sz w:val="24"/>
          <w:szCs w:val="24"/>
        </w:rPr>
        <w:t>Granular fill</w:t>
      </w:r>
      <w:r>
        <w:rPr>
          <w:rFonts w:asciiTheme="minorHAnsi" w:eastAsiaTheme="minorEastAsia" w:hAnsiTheme="minorHAnsi" w:cstheme="minorHAnsi"/>
          <w:b/>
          <w:sz w:val="24"/>
          <w:szCs w:val="24"/>
        </w:rPr>
        <w:t>, such as gravel used for construction pads or temporary roads</w:t>
      </w:r>
      <w:r w:rsidRPr="00685B69">
        <w:rPr>
          <w:rFonts w:asciiTheme="minorHAnsi" w:eastAsiaTheme="minorEastAsia" w:hAnsiTheme="minorHAnsi" w:cstheme="minorHAnsi"/>
          <w:b/>
          <w:sz w:val="24"/>
          <w:szCs w:val="24"/>
        </w:rPr>
        <w:t>.</w:t>
      </w:r>
      <w:r>
        <w:rPr>
          <w:rFonts w:asciiTheme="minorHAnsi" w:eastAsiaTheme="minorEastAsia" w:hAnsiTheme="minorHAnsi" w:cstheme="minorHAnsi"/>
          <w:b/>
          <w:sz w:val="24"/>
          <w:szCs w:val="24"/>
        </w:rPr>
        <w:t xml:space="preserve"> </w:t>
      </w:r>
      <w:r w:rsidR="00307E50">
        <w:rPr>
          <w:rFonts w:asciiTheme="minorHAnsi" w:eastAsiaTheme="minorEastAsia" w:hAnsiTheme="minorHAnsi" w:cstheme="minorHAnsi"/>
          <w:b/>
          <w:sz w:val="24"/>
          <w:szCs w:val="24"/>
        </w:rPr>
        <w:t xml:space="preserve"> </w:t>
      </w:r>
      <w:r w:rsidRPr="00685B69">
        <w:rPr>
          <w:rFonts w:asciiTheme="minorHAnsi" w:eastAsiaTheme="minorEastAsia" w:hAnsiTheme="minorHAnsi" w:cstheme="minorHAnsi"/>
          <w:sz w:val="24"/>
          <w:szCs w:val="24"/>
        </w:rPr>
        <w:t xml:space="preserve">FERC </w:t>
      </w:r>
      <w:r>
        <w:rPr>
          <w:rFonts w:asciiTheme="minorHAnsi" w:eastAsiaTheme="minorEastAsia" w:hAnsiTheme="minorHAnsi" w:cstheme="minorHAnsi"/>
          <w:sz w:val="24"/>
          <w:szCs w:val="24"/>
        </w:rPr>
        <w:t>asked for more information on the project’s plans</w:t>
      </w:r>
      <w:r w:rsidR="0058092F">
        <w:rPr>
          <w:rFonts w:asciiTheme="minorHAnsi" w:eastAsiaTheme="minorEastAsia" w:hAnsiTheme="minorHAnsi" w:cstheme="minorHAnsi"/>
          <w:sz w:val="24"/>
          <w:szCs w:val="24"/>
        </w:rPr>
        <w:t xml:space="preserve"> to use fill material</w:t>
      </w:r>
      <w:r>
        <w:rPr>
          <w:rFonts w:asciiTheme="minorHAnsi" w:eastAsiaTheme="minorEastAsia" w:hAnsiTheme="minorHAnsi" w:cstheme="minorHAnsi"/>
          <w:sz w:val="24"/>
          <w:szCs w:val="24"/>
        </w:rPr>
        <w:t xml:space="preserve">. In particular, FERC noted, if no </w:t>
      </w:r>
      <w:r w:rsidRPr="001B29CB">
        <w:rPr>
          <w:rFonts w:asciiTheme="minorHAnsi" w:eastAsiaTheme="minorEastAsia" w:hAnsiTheme="minorHAnsi" w:cstheme="minorHAnsi"/>
          <w:sz w:val="24"/>
          <w:szCs w:val="24"/>
        </w:rPr>
        <w:t xml:space="preserve">or minimal restoration </w:t>
      </w:r>
      <w:r>
        <w:rPr>
          <w:rFonts w:asciiTheme="minorHAnsi" w:eastAsiaTheme="minorEastAsia" w:hAnsiTheme="minorHAnsi" w:cstheme="minorHAnsi"/>
          <w:sz w:val="24"/>
          <w:szCs w:val="24"/>
        </w:rPr>
        <w:t>work were</w:t>
      </w:r>
      <w:r w:rsidRPr="001B29CB">
        <w:rPr>
          <w:rFonts w:asciiTheme="minorHAnsi" w:eastAsiaTheme="minorEastAsia" w:hAnsiTheme="minorHAnsi" w:cstheme="minorHAnsi"/>
          <w:sz w:val="24"/>
          <w:szCs w:val="24"/>
        </w:rPr>
        <w:t xml:space="preserve"> carried out</w:t>
      </w:r>
      <w:r w:rsidR="0058092F">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 xml:space="preserve"> “the </w:t>
      </w:r>
      <w:r w:rsidRPr="001B29CB">
        <w:rPr>
          <w:rFonts w:asciiTheme="minorHAnsi" w:eastAsiaTheme="minorEastAsia" w:hAnsiTheme="minorHAnsi" w:cstheme="minorHAnsi"/>
          <w:sz w:val="24"/>
          <w:szCs w:val="24"/>
        </w:rPr>
        <w:t>impacts could be permanent.</w:t>
      </w:r>
      <w:r>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AGDC responded that “r</w:t>
      </w:r>
      <w:r w:rsidRPr="001B29CB">
        <w:rPr>
          <w:rFonts w:asciiTheme="minorHAnsi" w:eastAsiaTheme="minorEastAsia" w:hAnsiTheme="minorHAnsi" w:cstheme="minorHAnsi"/>
          <w:sz w:val="24"/>
          <w:szCs w:val="24"/>
        </w:rPr>
        <w:t>estoration of placed granular fill for temporary</w:t>
      </w:r>
      <w:r>
        <w:rPr>
          <w:rFonts w:asciiTheme="minorHAnsi" w:eastAsiaTheme="minorEastAsia" w:hAnsiTheme="minorHAnsi" w:cstheme="minorHAnsi"/>
          <w:sz w:val="24"/>
          <w:szCs w:val="24"/>
        </w:rPr>
        <w:t>-</w:t>
      </w:r>
      <w:r w:rsidRPr="001B29CB">
        <w:rPr>
          <w:rFonts w:asciiTheme="minorHAnsi" w:eastAsiaTheme="minorEastAsia" w:hAnsiTheme="minorHAnsi" w:cstheme="minorHAnsi"/>
          <w:sz w:val="24"/>
          <w:szCs w:val="24"/>
        </w:rPr>
        <w:t>use facilities such as camp pads and temporary roads would occur at the request of the landowner, and discussed in the right-of</w:t>
      </w:r>
      <w:r>
        <w:rPr>
          <w:rFonts w:asciiTheme="minorHAnsi" w:eastAsiaTheme="minorEastAsia" w:hAnsiTheme="minorHAnsi" w:cstheme="minorHAnsi"/>
          <w:sz w:val="24"/>
          <w:szCs w:val="24"/>
        </w:rPr>
        <w:t>-</w:t>
      </w:r>
      <w:r w:rsidRPr="001B29CB">
        <w:rPr>
          <w:rFonts w:asciiTheme="minorHAnsi" w:eastAsiaTheme="minorEastAsia" w:hAnsiTheme="minorHAnsi" w:cstheme="minorHAnsi"/>
          <w:sz w:val="24"/>
          <w:szCs w:val="24"/>
        </w:rPr>
        <w:t>way agreement stipulations</w:t>
      </w:r>
      <w:r>
        <w:rPr>
          <w:rFonts w:asciiTheme="minorHAnsi" w:eastAsiaTheme="minorEastAsia" w:hAnsiTheme="minorHAnsi" w:cstheme="minorHAnsi"/>
          <w:sz w:val="24"/>
          <w:szCs w:val="24"/>
        </w:rPr>
        <w:t>,” such as with the federal Bureau of Land Management.</w:t>
      </w:r>
    </w:p>
    <w:p w:rsidR="00685B69" w:rsidRPr="001B29CB" w:rsidRDefault="00685B69" w:rsidP="00685B69">
      <w:pPr>
        <w:spacing w:after="0"/>
        <w:rPr>
          <w:rFonts w:asciiTheme="minorHAnsi" w:eastAsiaTheme="minorEastAsia" w:hAnsiTheme="minorHAnsi" w:cstheme="minorHAnsi"/>
          <w:sz w:val="24"/>
          <w:szCs w:val="24"/>
        </w:rPr>
      </w:pPr>
    </w:p>
    <w:p w:rsidR="009877C3" w:rsidRDefault="00685B69" w:rsidP="00685B69">
      <w:pPr>
        <w:spacing w:after="0"/>
        <w:rPr>
          <w:rFonts w:asciiTheme="minorHAnsi" w:eastAsiaTheme="minorEastAsia" w:hAnsiTheme="minorHAnsi" w:cstheme="minorHAnsi"/>
          <w:sz w:val="24"/>
          <w:szCs w:val="24"/>
        </w:rPr>
      </w:pPr>
      <w:r w:rsidRPr="00685B69">
        <w:rPr>
          <w:rFonts w:asciiTheme="minorHAnsi" w:eastAsiaTheme="minorEastAsia" w:hAnsiTheme="minorHAnsi" w:cstheme="minorHAnsi"/>
          <w:b/>
          <w:sz w:val="24"/>
          <w:szCs w:val="24"/>
        </w:rPr>
        <w:t xml:space="preserve">Wetlands restoration. </w:t>
      </w:r>
      <w:r w:rsidR="00307E50">
        <w:rPr>
          <w:rFonts w:asciiTheme="minorHAnsi" w:eastAsiaTheme="minorEastAsia" w:hAnsiTheme="minorHAnsi" w:cstheme="minorHAnsi"/>
          <w:b/>
          <w:sz w:val="24"/>
          <w:szCs w:val="24"/>
        </w:rPr>
        <w:t xml:space="preserve"> </w:t>
      </w:r>
      <w:r w:rsidR="009877C3" w:rsidRPr="009877C3">
        <w:rPr>
          <w:rFonts w:asciiTheme="minorHAnsi" w:eastAsiaTheme="minorEastAsia" w:hAnsiTheme="minorHAnsi" w:cstheme="minorHAnsi"/>
          <w:sz w:val="24"/>
          <w:szCs w:val="24"/>
        </w:rPr>
        <w:t>FERC asked for more details on plans for working in wetlands</w:t>
      </w:r>
      <w:r w:rsidR="009877C3">
        <w:rPr>
          <w:rFonts w:asciiTheme="minorHAnsi" w:eastAsiaTheme="minorEastAsia" w:hAnsiTheme="minorHAnsi" w:cstheme="minorHAnsi"/>
          <w:sz w:val="24"/>
          <w:szCs w:val="24"/>
        </w:rPr>
        <w:t xml:space="preserve">, including depth of fill and surface disruptions. </w:t>
      </w:r>
      <w:r w:rsidRPr="001B29CB">
        <w:rPr>
          <w:rFonts w:asciiTheme="minorHAnsi" w:eastAsiaTheme="minorEastAsia" w:hAnsiTheme="minorHAnsi" w:cstheme="minorHAnsi"/>
          <w:sz w:val="24"/>
          <w:szCs w:val="24"/>
        </w:rPr>
        <w:t xml:space="preserve">FERC </w:t>
      </w:r>
      <w:r w:rsidR="009877C3">
        <w:rPr>
          <w:rFonts w:asciiTheme="minorHAnsi" w:eastAsiaTheme="minorEastAsia" w:hAnsiTheme="minorHAnsi" w:cstheme="minorHAnsi"/>
          <w:sz w:val="24"/>
          <w:szCs w:val="24"/>
        </w:rPr>
        <w:t xml:space="preserve">also </w:t>
      </w:r>
      <w:r w:rsidRPr="001B29CB">
        <w:rPr>
          <w:rFonts w:asciiTheme="minorHAnsi" w:eastAsiaTheme="minorEastAsia" w:hAnsiTheme="minorHAnsi" w:cstheme="minorHAnsi"/>
          <w:sz w:val="24"/>
          <w:szCs w:val="24"/>
        </w:rPr>
        <w:t>request</w:t>
      </w:r>
      <w:r w:rsidR="009877C3">
        <w:rPr>
          <w:rFonts w:asciiTheme="minorHAnsi" w:eastAsiaTheme="minorEastAsia" w:hAnsiTheme="minorHAnsi" w:cstheme="minorHAnsi"/>
          <w:sz w:val="24"/>
          <w:szCs w:val="24"/>
        </w:rPr>
        <w:t>ed a</w:t>
      </w:r>
      <w:r w:rsidRPr="001B29CB">
        <w:rPr>
          <w:rFonts w:asciiTheme="minorHAnsi" w:eastAsiaTheme="minorEastAsia" w:hAnsiTheme="minorHAnsi" w:cstheme="minorHAnsi"/>
          <w:sz w:val="24"/>
          <w:szCs w:val="24"/>
        </w:rPr>
        <w:t xml:space="preserve"> final wetland</w:t>
      </w:r>
      <w:r w:rsidR="003605A8">
        <w:rPr>
          <w:rFonts w:asciiTheme="minorHAnsi" w:eastAsiaTheme="minorEastAsia" w:hAnsiTheme="minorHAnsi" w:cstheme="minorHAnsi"/>
          <w:sz w:val="24"/>
          <w:szCs w:val="24"/>
        </w:rPr>
        <w:t>s</w:t>
      </w:r>
      <w:r w:rsidRPr="001B29CB">
        <w:rPr>
          <w:rFonts w:asciiTheme="minorHAnsi" w:eastAsiaTheme="minorEastAsia" w:hAnsiTheme="minorHAnsi" w:cstheme="minorHAnsi"/>
          <w:sz w:val="24"/>
          <w:szCs w:val="24"/>
        </w:rPr>
        <w:t xml:space="preserve"> mitigation plan</w:t>
      </w:r>
      <w:r w:rsidR="009877C3">
        <w:rPr>
          <w:rFonts w:asciiTheme="minorHAnsi" w:eastAsiaTheme="minorEastAsia" w:hAnsiTheme="minorHAnsi" w:cstheme="minorHAnsi"/>
          <w:sz w:val="24"/>
          <w:szCs w:val="24"/>
        </w:rPr>
        <w:t>.</w:t>
      </w:r>
      <w:r w:rsidR="00307E50">
        <w:rPr>
          <w:rFonts w:asciiTheme="minorHAnsi" w:eastAsiaTheme="minorEastAsia" w:hAnsiTheme="minorHAnsi" w:cstheme="minorHAnsi"/>
          <w:sz w:val="24"/>
          <w:szCs w:val="24"/>
        </w:rPr>
        <w:t xml:space="preserve"> </w:t>
      </w:r>
      <w:r w:rsidR="009877C3">
        <w:rPr>
          <w:rFonts w:asciiTheme="minorHAnsi" w:eastAsiaTheme="minorEastAsia" w:hAnsiTheme="minorHAnsi" w:cstheme="minorHAnsi"/>
          <w:sz w:val="24"/>
          <w:szCs w:val="24"/>
        </w:rPr>
        <w:t xml:space="preserve"> </w:t>
      </w:r>
      <w:r w:rsidR="0058092F">
        <w:rPr>
          <w:rFonts w:asciiTheme="minorHAnsi" w:eastAsiaTheme="minorEastAsia" w:hAnsiTheme="minorHAnsi" w:cstheme="minorHAnsi"/>
          <w:sz w:val="24"/>
          <w:szCs w:val="24"/>
        </w:rPr>
        <w:t>I</w:t>
      </w:r>
      <w:r w:rsidR="009877C3">
        <w:rPr>
          <w:rFonts w:asciiTheme="minorHAnsi" w:eastAsiaTheme="minorEastAsia" w:hAnsiTheme="minorHAnsi" w:cstheme="minorHAnsi"/>
          <w:sz w:val="24"/>
          <w:szCs w:val="24"/>
        </w:rPr>
        <w:t xml:space="preserve">t’s too early for the final plan, AGDC responded. </w:t>
      </w:r>
      <w:r w:rsidR="00307E50">
        <w:rPr>
          <w:rFonts w:asciiTheme="minorHAnsi" w:eastAsiaTheme="minorEastAsia" w:hAnsiTheme="minorHAnsi" w:cstheme="minorHAnsi"/>
          <w:sz w:val="24"/>
          <w:szCs w:val="24"/>
        </w:rPr>
        <w:t xml:space="preserve"> </w:t>
      </w:r>
      <w:r w:rsidR="009877C3">
        <w:rPr>
          <w:rFonts w:asciiTheme="minorHAnsi" w:eastAsiaTheme="minorEastAsia" w:hAnsiTheme="minorHAnsi" w:cstheme="minorHAnsi"/>
          <w:sz w:val="24"/>
          <w:szCs w:val="24"/>
        </w:rPr>
        <w:t xml:space="preserve">The </w:t>
      </w:r>
      <w:r w:rsidRPr="001B29CB">
        <w:rPr>
          <w:rFonts w:asciiTheme="minorHAnsi" w:eastAsiaTheme="minorEastAsia" w:hAnsiTheme="minorHAnsi" w:cstheme="minorHAnsi"/>
          <w:sz w:val="24"/>
          <w:szCs w:val="24"/>
        </w:rPr>
        <w:t>U.S. Army Corps of Engineers</w:t>
      </w:r>
      <w:r w:rsidR="009877C3">
        <w:rPr>
          <w:rFonts w:asciiTheme="minorHAnsi" w:eastAsiaTheme="minorEastAsia" w:hAnsiTheme="minorHAnsi" w:cstheme="minorHAnsi"/>
          <w:sz w:val="24"/>
          <w:szCs w:val="24"/>
        </w:rPr>
        <w:t>, which regulates wetlands, “</w:t>
      </w:r>
      <w:r w:rsidRPr="001B29CB">
        <w:rPr>
          <w:rFonts w:asciiTheme="minorHAnsi" w:eastAsiaTheme="minorEastAsia" w:hAnsiTheme="minorHAnsi" w:cstheme="minorHAnsi"/>
          <w:sz w:val="24"/>
          <w:szCs w:val="24"/>
        </w:rPr>
        <w:t xml:space="preserve">has advised other </w:t>
      </w:r>
      <w:r w:rsidR="008B55BD">
        <w:rPr>
          <w:rFonts w:asciiTheme="minorHAnsi" w:eastAsiaTheme="minorEastAsia" w:hAnsiTheme="minorHAnsi" w:cstheme="minorHAnsi"/>
          <w:sz w:val="24"/>
          <w:szCs w:val="24"/>
        </w:rPr>
        <w:t xml:space="preserve">(Alaska) </w:t>
      </w:r>
      <w:r w:rsidRPr="001B29CB">
        <w:rPr>
          <w:rFonts w:asciiTheme="minorHAnsi" w:eastAsiaTheme="minorEastAsia" w:hAnsiTheme="minorHAnsi" w:cstheme="minorHAnsi"/>
          <w:sz w:val="24"/>
          <w:szCs w:val="24"/>
        </w:rPr>
        <w:t xml:space="preserve">projects currently in the permitting stage </w:t>
      </w:r>
      <w:r w:rsidR="009877C3">
        <w:rPr>
          <w:rFonts w:asciiTheme="minorHAnsi" w:eastAsiaTheme="minorEastAsia" w:hAnsiTheme="minorHAnsi" w:cstheme="minorHAnsi"/>
          <w:sz w:val="24"/>
          <w:szCs w:val="24"/>
        </w:rPr>
        <w:t xml:space="preserve">… </w:t>
      </w:r>
      <w:r w:rsidRPr="001B29CB">
        <w:rPr>
          <w:rFonts w:asciiTheme="minorHAnsi" w:eastAsiaTheme="minorEastAsia" w:hAnsiTheme="minorHAnsi" w:cstheme="minorHAnsi"/>
          <w:sz w:val="24"/>
          <w:szCs w:val="24"/>
        </w:rPr>
        <w:t xml:space="preserve">that the final mitigation plan will not be accepted until the </w:t>
      </w:r>
      <w:r w:rsidR="009877C3">
        <w:rPr>
          <w:rFonts w:asciiTheme="minorHAnsi" w:eastAsiaTheme="minorEastAsia" w:hAnsiTheme="minorHAnsi" w:cstheme="minorHAnsi"/>
          <w:sz w:val="24"/>
          <w:szCs w:val="24"/>
        </w:rPr>
        <w:t>f</w:t>
      </w:r>
      <w:r w:rsidRPr="001B29CB">
        <w:rPr>
          <w:rFonts w:asciiTheme="minorHAnsi" w:eastAsiaTheme="minorEastAsia" w:hAnsiTheme="minorHAnsi" w:cstheme="minorHAnsi"/>
          <w:sz w:val="24"/>
          <w:szCs w:val="24"/>
        </w:rPr>
        <w:t xml:space="preserve">inal </w:t>
      </w:r>
      <w:r w:rsidR="009877C3">
        <w:rPr>
          <w:rFonts w:asciiTheme="minorHAnsi" w:eastAsiaTheme="minorEastAsia" w:hAnsiTheme="minorHAnsi" w:cstheme="minorHAnsi"/>
          <w:sz w:val="24"/>
          <w:szCs w:val="24"/>
        </w:rPr>
        <w:t>e</w:t>
      </w:r>
      <w:r w:rsidRPr="001B29CB">
        <w:rPr>
          <w:rFonts w:asciiTheme="minorHAnsi" w:eastAsiaTheme="minorEastAsia" w:hAnsiTheme="minorHAnsi" w:cstheme="minorHAnsi"/>
          <w:sz w:val="24"/>
          <w:szCs w:val="24"/>
        </w:rPr>
        <w:t xml:space="preserve">nvironmental </w:t>
      </w:r>
      <w:r w:rsidR="009877C3">
        <w:rPr>
          <w:rFonts w:asciiTheme="minorHAnsi" w:eastAsiaTheme="minorEastAsia" w:hAnsiTheme="minorHAnsi" w:cstheme="minorHAnsi"/>
          <w:sz w:val="24"/>
          <w:szCs w:val="24"/>
        </w:rPr>
        <w:t>i</w:t>
      </w:r>
      <w:r w:rsidRPr="001B29CB">
        <w:rPr>
          <w:rFonts w:asciiTheme="minorHAnsi" w:eastAsiaTheme="minorEastAsia" w:hAnsiTheme="minorHAnsi" w:cstheme="minorHAnsi"/>
          <w:sz w:val="24"/>
          <w:szCs w:val="24"/>
        </w:rPr>
        <w:t xml:space="preserve">mpact </w:t>
      </w:r>
      <w:r w:rsidR="009877C3">
        <w:rPr>
          <w:rFonts w:asciiTheme="minorHAnsi" w:eastAsiaTheme="minorEastAsia" w:hAnsiTheme="minorHAnsi" w:cstheme="minorHAnsi"/>
          <w:sz w:val="24"/>
          <w:szCs w:val="24"/>
        </w:rPr>
        <w:t>s</w:t>
      </w:r>
      <w:r w:rsidRPr="001B29CB">
        <w:rPr>
          <w:rFonts w:asciiTheme="minorHAnsi" w:eastAsiaTheme="minorEastAsia" w:hAnsiTheme="minorHAnsi" w:cstheme="minorHAnsi"/>
          <w:sz w:val="24"/>
          <w:szCs w:val="24"/>
        </w:rPr>
        <w:t xml:space="preserve">tatement permitting phase. </w:t>
      </w:r>
      <w:r w:rsidR="009877C3">
        <w:rPr>
          <w:rFonts w:asciiTheme="minorHAnsi" w:eastAsiaTheme="minorEastAsia" w:hAnsiTheme="minorHAnsi" w:cstheme="minorHAnsi"/>
          <w:sz w:val="24"/>
          <w:szCs w:val="24"/>
        </w:rPr>
        <w:t xml:space="preserve">… </w:t>
      </w:r>
      <w:r w:rsidRPr="001B29CB">
        <w:rPr>
          <w:rFonts w:asciiTheme="minorHAnsi" w:eastAsiaTheme="minorEastAsia" w:hAnsiTheme="minorHAnsi" w:cstheme="minorHAnsi"/>
          <w:sz w:val="24"/>
          <w:szCs w:val="24"/>
        </w:rPr>
        <w:t xml:space="preserve">AGDC will coordinate with </w:t>
      </w:r>
      <w:r w:rsidR="009877C3">
        <w:rPr>
          <w:rFonts w:asciiTheme="minorHAnsi" w:eastAsiaTheme="minorEastAsia" w:hAnsiTheme="minorHAnsi" w:cstheme="minorHAnsi"/>
          <w:sz w:val="24"/>
          <w:szCs w:val="24"/>
        </w:rPr>
        <w:t>the Army Corps</w:t>
      </w:r>
      <w:r w:rsidRPr="001B29CB">
        <w:rPr>
          <w:rFonts w:asciiTheme="minorHAnsi" w:eastAsiaTheme="minorEastAsia" w:hAnsiTheme="minorHAnsi" w:cstheme="minorHAnsi"/>
          <w:sz w:val="24"/>
          <w:szCs w:val="24"/>
        </w:rPr>
        <w:t xml:space="preserve"> (and other appropriate agencies) to finalize the </w:t>
      </w:r>
      <w:r w:rsidR="009877C3">
        <w:rPr>
          <w:rFonts w:asciiTheme="minorHAnsi" w:eastAsiaTheme="minorEastAsia" w:hAnsiTheme="minorHAnsi" w:cstheme="minorHAnsi"/>
          <w:sz w:val="24"/>
          <w:szCs w:val="24"/>
        </w:rPr>
        <w:t>w</w:t>
      </w:r>
      <w:r w:rsidRPr="001B29CB">
        <w:rPr>
          <w:rFonts w:asciiTheme="minorHAnsi" w:eastAsiaTheme="minorEastAsia" w:hAnsiTheme="minorHAnsi" w:cstheme="minorHAnsi"/>
          <w:sz w:val="24"/>
          <w:szCs w:val="24"/>
        </w:rPr>
        <w:t xml:space="preserve">etland </w:t>
      </w:r>
      <w:r w:rsidR="009877C3">
        <w:rPr>
          <w:rFonts w:asciiTheme="minorHAnsi" w:eastAsiaTheme="minorEastAsia" w:hAnsiTheme="minorHAnsi" w:cstheme="minorHAnsi"/>
          <w:sz w:val="24"/>
          <w:szCs w:val="24"/>
        </w:rPr>
        <w:t>m</w:t>
      </w:r>
      <w:r w:rsidRPr="001B29CB">
        <w:rPr>
          <w:rFonts w:asciiTheme="minorHAnsi" w:eastAsiaTheme="minorEastAsia" w:hAnsiTheme="minorHAnsi" w:cstheme="minorHAnsi"/>
          <w:sz w:val="24"/>
          <w:szCs w:val="24"/>
        </w:rPr>
        <w:t xml:space="preserve">itigation </w:t>
      </w:r>
      <w:r w:rsidR="009877C3">
        <w:rPr>
          <w:rFonts w:asciiTheme="minorHAnsi" w:eastAsiaTheme="minorEastAsia" w:hAnsiTheme="minorHAnsi" w:cstheme="minorHAnsi"/>
          <w:sz w:val="24"/>
          <w:szCs w:val="24"/>
        </w:rPr>
        <w:t>p</w:t>
      </w:r>
      <w:r w:rsidRPr="001B29CB">
        <w:rPr>
          <w:rFonts w:asciiTheme="minorHAnsi" w:eastAsiaTheme="minorEastAsia" w:hAnsiTheme="minorHAnsi" w:cstheme="minorHAnsi"/>
          <w:sz w:val="24"/>
          <w:szCs w:val="24"/>
        </w:rPr>
        <w:t xml:space="preserve">lan during the </w:t>
      </w:r>
      <w:r w:rsidR="009877C3">
        <w:rPr>
          <w:rFonts w:asciiTheme="minorHAnsi" w:eastAsiaTheme="minorEastAsia" w:hAnsiTheme="minorHAnsi" w:cstheme="minorHAnsi"/>
          <w:sz w:val="24"/>
          <w:szCs w:val="24"/>
        </w:rPr>
        <w:t>f</w:t>
      </w:r>
      <w:r w:rsidRPr="001B29CB">
        <w:rPr>
          <w:rFonts w:asciiTheme="minorHAnsi" w:eastAsiaTheme="minorEastAsia" w:hAnsiTheme="minorHAnsi" w:cstheme="minorHAnsi"/>
          <w:sz w:val="24"/>
          <w:szCs w:val="24"/>
        </w:rPr>
        <w:t>inal EIS/permitting phase and prior to construction.</w:t>
      </w:r>
      <w:r w:rsidR="009877C3">
        <w:rPr>
          <w:rFonts w:asciiTheme="minorHAnsi" w:eastAsiaTheme="minorEastAsia" w:hAnsiTheme="minorHAnsi" w:cstheme="minorHAnsi"/>
          <w:sz w:val="24"/>
          <w:szCs w:val="24"/>
        </w:rPr>
        <w:t>”</w:t>
      </w:r>
    </w:p>
    <w:p w:rsidR="00685B69" w:rsidRPr="001B29CB" w:rsidRDefault="00685B69" w:rsidP="00685B69">
      <w:pPr>
        <w:spacing w:after="0"/>
        <w:rPr>
          <w:rFonts w:asciiTheme="minorHAnsi" w:eastAsiaTheme="minorEastAsia" w:hAnsiTheme="minorHAnsi" w:cstheme="minorHAnsi"/>
          <w:sz w:val="24"/>
          <w:szCs w:val="24"/>
        </w:rPr>
      </w:pPr>
    </w:p>
    <w:p w:rsidR="00685B69" w:rsidRPr="001B29CB" w:rsidRDefault="009877C3" w:rsidP="00685B69">
      <w:pPr>
        <w:spacing w:after="0"/>
        <w:rPr>
          <w:rFonts w:asciiTheme="minorHAnsi" w:eastAsiaTheme="minorEastAsia" w:hAnsiTheme="minorHAnsi" w:cstheme="minorHAnsi"/>
          <w:sz w:val="24"/>
          <w:szCs w:val="24"/>
        </w:rPr>
      </w:pPr>
      <w:r w:rsidRPr="009877C3">
        <w:rPr>
          <w:rFonts w:asciiTheme="minorHAnsi" w:eastAsiaTheme="minorEastAsia" w:hAnsiTheme="minorHAnsi" w:cstheme="minorHAnsi"/>
          <w:b/>
          <w:sz w:val="24"/>
          <w:szCs w:val="24"/>
        </w:rPr>
        <w:t xml:space="preserve">Wildlife. </w:t>
      </w:r>
      <w:r w:rsidR="00307E50">
        <w:rPr>
          <w:rFonts w:asciiTheme="minorHAnsi" w:eastAsiaTheme="minorEastAsia" w:hAnsiTheme="minorHAnsi" w:cstheme="minorHAnsi"/>
          <w:b/>
          <w:sz w:val="24"/>
          <w:szCs w:val="24"/>
        </w:rPr>
        <w:t xml:space="preserve"> </w:t>
      </w:r>
      <w:r>
        <w:rPr>
          <w:rFonts w:asciiTheme="minorHAnsi" w:eastAsiaTheme="minorEastAsia" w:hAnsiTheme="minorHAnsi" w:cstheme="minorHAnsi"/>
          <w:sz w:val="24"/>
          <w:szCs w:val="24"/>
        </w:rPr>
        <w:t>“</w:t>
      </w:r>
      <w:r w:rsidR="00685B69" w:rsidRPr="001B29CB">
        <w:rPr>
          <w:rFonts w:asciiTheme="minorHAnsi" w:eastAsiaTheme="minorEastAsia" w:hAnsiTheme="minorHAnsi" w:cstheme="minorHAnsi"/>
          <w:sz w:val="24"/>
          <w:szCs w:val="24"/>
        </w:rPr>
        <w:t xml:space="preserve">The evaluation of potential short-term, long-term and permanent impacts on the wildlife resources caused by construction and operation of the </w:t>
      </w:r>
      <w:r>
        <w:rPr>
          <w:rFonts w:asciiTheme="minorHAnsi" w:eastAsiaTheme="minorEastAsia" w:hAnsiTheme="minorHAnsi" w:cstheme="minorHAnsi"/>
          <w:sz w:val="24"/>
          <w:szCs w:val="24"/>
        </w:rPr>
        <w:t>p</w:t>
      </w:r>
      <w:r w:rsidR="00685B69" w:rsidRPr="001B29CB">
        <w:rPr>
          <w:rFonts w:asciiTheme="minorHAnsi" w:eastAsiaTheme="minorEastAsia" w:hAnsiTheme="minorHAnsi" w:cstheme="minorHAnsi"/>
          <w:sz w:val="24"/>
          <w:szCs w:val="24"/>
        </w:rPr>
        <w:t>roject is incomplete, and the evaluation appears to be based on public information contained in Alaska habitat atlases that are outdated</w:t>
      </w:r>
      <w:r>
        <w:rPr>
          <w:rFonts w:asciiTheme="minorHAnsi" w:eastAsiaTheme="minorEastAsia" w:hAnsiTheme="minorHAnsi" w:cstheme="minorHAnsi"/>
          <w:sz w:val="24"/>
          <w:szCs w:val="24"/>
        </w:rPr>
        <w:t xml:space="preserve">,” FERC said last summer. </w:t>
      </w:r>
      <w:r w:rsidR="00307E50">
        <w:rPr>
          <w:rFonts w:asciiTheme="minorHAnsi" w:eastAsiaTheme="minorEastAsia" w:hAnsiTheme="minorHAnsi" w:cstheme="minorHAnsi"/>
          <w:sz w:val="24"/>
          <w:szCs w:val="24"/>
        </w:rPr>
        <w:t xml:space="preserve"> </w:t>
      </w:r>
      <w:r w:rsidR="00685B69" w:rsidRPr="001B29CB">
        <w:rPr>
          <w:rFonts w:asciiTheme="minorHAnsi" w:eastAsiaTheme="minorEastAsia" w:hAnsiTheme="minorHAnsi" w:cstheme="minorHAnsi"/>
          <w:sz w:val="24"/>
          <w:szCs w:val="24"/>
        </w:rPr>
        <w:t>AGDC</w:t>
      </w:r>
      <w:r>
        <w:rPr>
          <w:rFonts w:asciiTheme="minorHAnsi" w:eastAsiaTheme="minorEastAsia" w:hAnsiTheme="minorHAnsi" w:cstheme="minorHAnsi"/>
          <w:sz w:val="24"/>
          <w:szCs w:val="24"/>
        </w:rPr>
        <w:t xml:space="preserve"> defended its work in its Dec. 29 response: “</w:t>
      </w:r>
      <w:r w:rsidR="00685B69" w:rsidRPr="001B29CB">
        <w:rPr>
          <w:rFonts w:asciiTheme="minorHAnsi" w:eastAsiaTheme="minorEastAsia" w:hAnsiTheme="minorHAnsi" w:cstheme="minorHAnsi"/>
          <w:sz w:val="24"/>
          <w:szCs w:val="24"/>
        </w:rPr>
        <w:t xml:space="preserve">The </w:t>
      </w:r>
      <w:r>
        <w:rPr>
          <w:rFonts w:asciiTheme="minorHAnsi" w:eastAsiaTheme="minorEastAsia" w:hAnsiTheme="minorHAnsi" w:cstheme="minorHAnsi"/>
          <w:sz w:val="24"/>
          <w:szCs w:val="24"/>
        </w:rPr>
        <w:t>a</w:t>
      </w:r>
      <w:r w:rsidR="00685B69" w:rsidRPr="001B29CB">
        <w:rPr>
          <w:rFonts w:asciiTheme="minorHAnsi" w:eastAsiaTheme="minorEastAsia" w:hAnsiTheme="minorHAnsi" w:cstheme="minorHAnsi"/>
          <w:sz w:val="24"/>
          <w:szCs w:val="24"/>
        </w:rPr>
        <w:t xml:space="preserve">pplicant does not agree with the premise that outdated information was used in the development of </w:t>
      </w:r>
      <w:r>
        <w:rPr>
          <w:rFonts w:asciiTheme="minorHAnsi" w:eastAsiaTheme="minorEastAsia" w:hAnsiTheme="minorHAnsi" w:cstheme="minorHAnsi"/>
          <w:sz w:val="24"/>
          <w:szCs w:val="24"/>
        </w:rPr>
        <w:t>p</w:t>
      </w:r>
      <w:r w:rsidR="00685B69" w:rsidRPr="001B29CB">
        <w:rPr>
          <w:rFonts w:asciiTheme="minorHAnsi" w:eastAsiaTheme="minorEastAsia" w:hAnsiTheme="minorHAnsi" w:cstheme="minorHAnsi"/>
          <w:sz w:val="24"/>
          <w:szCs w:val="24"/>
        </w:rPr>
        <w:t>roject-related wildlife impacts</w:t>
      </w:r>
      <w:r>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The state team added, “The ap</w:t>
      </w:r>
      <w:r w:rsidR="00685B69" w:rsidRPr="001B29CB">
        <w:rPr>
          <w:rFonts w:asciiTheme="minorHAnsi" w:eastAsiaTheme="minorEastAsia" w:hAnsiTheme="minorHAnsi" w:cstheme="minorHAnsi"/>
          <w:sz w:val="24"/>
          <w:szCs w:val="24"/>
        </w:rPr>
        <w:t>plicant will work with the Alaska resource agencies on measures to minimize impacts to important habitat through the right-of-way permitting process.</w:t>
      </w:r>
      <w:r>
        <w:rPr>
          <w:rFonts w:asciiTheme="minorHAnsi" w:eastAsiaTheme="minorEastAsia" w:hAnsiTheme="minorHAnsi" w:cstheme="minorHAnsi"/>
          <w:sz w:val="24"/>
          <w:szCs w:val="24"/>
        </w:rPr>
        <w:t>”</w:t>
      </w:r>
    </w:p>
    <w:p w:rsidR="00685B69" w:rsidRPr="001B29CB" w:rsidRDefault="00685B69" w:rsidP="00685B69">
      <w:pPr>
        <w:spacing w:after="0"/>
        <w:rPr>
          <w:rFonts w:asciiTheme="minorHAnsi" w:eastAsiaTheme="minorEastAsia" w:hAnsiTheme="minorHAnsi" w:cstheme="minorHAnsi"/>
          <w:sz w:val="24"/>
          <w:szCs w:val="24"/>
        </w:rPr>
      </w:pPr>
    </w:p>
    <w:p w:rsidR="009C7D06" w:rsidRDefault="002E225A" w:rsidP="00A806F4">
      <w:pPr>
        <w:spacing w:after="0"/>
        <w:rPr>
          <w:rFonts w:asciiTheme="minorHAnsi" w:eastAsiaTheme="minorEastAsia" w:hAnsiTheme="minorHAnsi" w:cstheme="minorHAnsi"/>
          <w:sz w:val="24"/>
          <w:szCs w:val="24"/>
        </w:rPr>
      </w:pPr>
      <w:r w:rsidRPr="002E225A">
        <w:rPr>
          <w:rFonts w:asciiTheme="minorHAnsi" w:eastAsiaTheme="minorEastAsia" w:hAnsiTheme="minorHAnsi" w:cstheme="minorHAnsi"/>
          <w:b/>
          <w:sz w:val="24"/>
          <w:szCs w:val="24"/>
        </w:rPr>
        <w:t>Tourism.</w:t>
      </w:r>
      <w:r>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58092F">
        <w:rPr>
          <w:rFonts w:asciiTheme="minorHAnsi" w:eastAsiaTheme="minorEastAsia" w:hAnsiTheme="minorHAnsi" w:cstheme="minorHAnsi"/>
          <w:sz w:val="24"/>
          <w:szCs w:val="24"/>
        </w:rPr>
        <w:t>The Dec. 29 filing included a</w:t>
      </w:r>
      <w:r w:rsidR="00A806F4">
        <w:rPr>
          <w:rFonts w:asciiTheme="minorHAnsi" w:eastAsiaTheme="minorEastAsia" w:hAnsiTheme="minorHAnsi" w:cstheme="minorHAnsi"/>
          <w:sz w:val="24"/>
          <w:szCs w:val="24"/>
        </w:rPr>
        <w:t xml:space="preserve"> pledge that AGDC “</w:t>
      </w:r>
      <w:r w:rsidR="009C7D06" w:rsidRPr="001B29CB">
        <w:rPr>
          <w:rFonts w:asciiTheme="minorHAnsi" w:eastAsiaTheme="minorEastAsia" w:hAnsiTheme="minorHAnsi" w:cstheme="minorHAnsi"/>
          <w:sz w:val="24"/>
          <w:szCs w:val="24"/>
        </w:rPr>
        <w:t>would work closely with the Alaska Tourism Industry Association, Explore Fairbanks, Alaska Cruise Association, local chambers of commerce</w:t>
      </w:r>
      <w:r w:rsidR="00307E50">
        <w:rPr>
          <w:rFonts w:asciiTheme="minorHAnsi" w:eastAsiaTheme="minorEastAsia" w:hAnsiTheme="minorHAnsi" w:cstheme="minorHAnsi"/>
          <w:sz w:val="24"/>
          <w:szCs w:val="24"/>
        </w:rPr>
        <w:t>,</w:t>
      </w:r>
      <w:r w:rsidR="009C7D06" w:rsidRPr="001B29CB">
        <w:rPr>
          <w:rFonts w:asciiTheme="minorHAnsi" w:eastAsiaTheme="minorEastAsia" w:hAnsiTheme="minorHAnsi" w:cstheme="minorHAnsi"/>
          <w:sz w:val="24"/>
          <w:szCs w:val="24"/>
        </w:rPr>
        <w:t xml:space="preserve"> and others to discuss the </w:t>
      </w:r>
      <w:r w:rsidR="00A806F4">
        <w:rPr>
          <w:rFonts w:asciiTheme="minorHAnsi" w:eastAsiaTheme="minorEastAsia" w:hAnsiTheme="minorHAnsi" w:cstheme="minorHAnsi"/>
          <w:sz w:val="24"/>
          <w:szCs w:val="24"/>
        </w:rPr>
        <w:t>p</w:t>
      </w:r>
      <w:r w:rsidR="009C7D06" w:rsidRPr="001B29CB">
        <w:rPr>
          <w:rFonts w:asciiTheme="minorHAnsi" w:eastAsiaTheme="minorEastAsia" w:hAnsiTheme="minorHAnsi" w:cstheme="minorHAnsi"/>
          <w:sz w:val="24"/>
          <w:szCs w:val="24"/>
        </w:rPr>
        <w:t>roject construction timeline to minimize impacts and displacement of tourists.</w:t>
      </w:r>
      <w:r w:rsidR="00A806F4">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A806F4">
        <w:rPr>
          <w:rFonts w:asciiTheme="minorHAnsi" w:eastAsiaTheme="minorEastAsia" w:hAnsiTheme="minorHAnsi" w:cstheme="minorHAnsi"/>
          <w:sz w:val="24"/>
          <w:szCs w:val="24"/>
        </w:rPr>
        <w:t xml:space="preserve">FERC had asked for more details on the project’s </w:t>
      </w:r>
      <w:r w:rsidR="005D46A7">
        <w:rPr>
          <w:rFonts w:asciiTheme="minorHAnsi" w:eastAsiaTheme="minorEastAsia" w:hAnsiTheme="minorHAnsi" w:cstheme="minorHAnsi"/>
          <w:sz w:val="24"/>
          <w:szCs w:val="24"/>
        </w:rPr>
        <w:t xml:space="preserve">potential impact to </w:t>
      </w:r>
      <w:r w:rsidR="00A806F4">
        <w:rPr>
          <w:rFonts w:asciiTheme="minorHAnsi" w:eastAsiaTheme="minorEastAsia" w:hAnsiTheme="minorHAnsi" w:cstheme="minorHAnsi"/>
          <w:sz w:val="24"/>
          <w:szCs w:val="24"/>
        </w:rPr>
        <w:t>Alaska’s substantial tourism industry during construction and operations.</w:t>
      </w:r>
      <w:r w:rsidR="00307E50">
        <w:rPr>
          <w:rFonts w:asciiTheme="minorHAnsi" w:eastAsiaTheme="minorEastAsia" w:hAnsiTheme="minorHAnsi" w:cstheme="minorHAnsi"/>
          <w:sz w:val="24"/>
          <w:szCs w:val="24"/>
        </w:rPr>
        <w:t xml:space="preserve"> </w:t>
      </w:r>
      <w:r w:rsidR="00A806F4">
        <w:rPr>
          <w:rFonts w:asciiTheme="minorHAnsi" w:eastAsiaTheme="minorEastAsia" w:hAnsiTheme="minorHAnsi" w:cstheme="minorHAnsi"/>
          <w:sz w:val="24"/>
          <w:szCs w:val="24"/>
        </w:rPr>
        <w:t xml:space="preserve"> The state responded that it would consider reducing construction work during the tourism season “</w:t>
      </w:r>
      <w:r w:rsidR="009C7D06" w:rsidRPr="001B29CB">
        <w:rPr>
          <w:rFonts w:asciiTheme="minorHAnsi" w:eastAsiaTheme="minorEastAsia" w:hAnsiTheme="minorHAnsi" w:cstheme="minorHAnsi"/>
          <w:sz w:val="24"/>
          <w:szCs w:val="24"/>
        </w:rPr>
        <w:t>to the extent practicable</w:t>
      </w:r>
      <w:r w:rsidR="00A806F4">
        <w:rPr>
          <w:rFonts w:asciiTheme="minorHAnsi" w:eastAsiaTheme="minorEastAsia" w:hAnsiTheme="minorHAnsi" w:cstheme="minorHAnsi"/>
          <w:sz w:val="24"/>
          <w:szCs w:val="24"/>
        </w:rPr>
        <w:t>,” and “co</w:t>
      </w:r>
      <w:r w:rsidR="009C7D06" w:rsidRPr="001B29CB">
        <w:rPr>
          <w:rFonts w:asciiTheme="minorHAnsi" w:eastAsiaTheme="minorEastAsia" w:hAnsiTheme="minorHAnsi" w:cstheme="minorHAnsi"/>
          <w:sz w:val="24"/>
          <w:szCs w:val="24"/>
        </w:rPr>
        <w:t>ordinate with local organizations</w:t>
      </w:r>
      <w:r w:rsidR="00A806F4">
        <w:rPr>
          <w:rFonts w:asciiTheme="minorHAnsi" w:eastAsiaTheme="minorEastAsia" w:hAnsiTheme="minorHAnsi" w:cstheme="minorHAnsi"/>
          <w:sz w:val="24"/>
          <w:szCs w:val="24"/>
        </w:rPr>
        <w:t xml:space="preserve"> such as </w:t>
      </w:r>
      <w:r w:rsidR="009C7D06" w:rsidRPr="001B29CB">
        <w:rPr>
          <w:rFonts w:asciiTheme="minorHAnsi" w:eastAsiaTheme="minorEastAsia" w:hAnsiTheme="minorHAnsi" w:cstheme="minorHAnsi"/>
          <w:sz w:val="24"/>
          <w:szCs w:val="24"/>
        </w:rPr>
        <w:t>Mat-Su Convention and Visitors Bureau, Explore Fairbanks, Friends of Denali, Iditarod, etc.</w:t>
      </w:r>
      <w:r w:rsidR="00A806F4">
        <w:rPr>
          <w:rFonts w:asciiTheme="minorHAnsi" w:eastAsiaTheme="minorEastAsia" w:hAnsiTheme="minorHAnsi" w:cstheme="minorHAnsi"/>
          <w:sz w:val="24"/>
          <w:szCs w:val="24"/>
        </w:rPr>
        <w:t xml:space="preserve"> r</w:t>
      </w:r>
      <w:r w:rsidR="009C7D06" w:rsidRPr="001B29CB">
        <w:rPr>
          <w:rFonts w:asciiTheme="minorHAnsi" w:eastAsiaTheme="minorEastAsia" w:hAnsiTheme="minorHAnsi" w:cstheme="minorHAnsi"/>
          <w:sz w:val="24"/>
          <w:szCs w:val="24"/>
        </w:rPr>
        <w:t>egarding timing of local activities to reduce conflicts between activities and construction.</w:t>
      </w:r>
      <w:r w:rsidR="00A806F4">
        <w:rPr>
          <w:rFonts w:asciiTheme="minorHAnsi" w:eastAsiaTheme="minorEastAsia" w:hAnsiTheme="minorHAnsi" w:cstheme="minorHAnsi"/>
          <w:sz w:val="24"/>
          <w:szCs w:val="24"/>
        </w:rPr>
        <w:t>”</w:t>
      </w:r>
    </w:p>
    <w:p w:rsidR="002E225A" w:rsidRDefault="002E225A" w:rsidP="00A806F4">
      <w:pPr>
        <w:spacing w:after="0"/>
        <w:rPr>
          <w:rFonts w:asciiTheme="minorHAnsi" w:eastAsiaTheme="minorEastAsia" w:hAnsiTheme="minorHAnsi" w:cstheme="minorHAnsi"/>
          <w:sz w:val="24"/>
          <w:szCs w:val="24"/>
        </w:rPr>
      </w:pPr>
    </w:p>
    <w:p w:rsidR="00550B72" w:rsidRDefault="009877C3" w:rsidP="001B29CB">
      <w:pPr>
        <w:spacing w:after="0"/>
        <w:rPr>
          <w:rFonts w:asciiTheme="minorHAnsi" w:eastAsiaTheme="minorEastAsia" w:hAnsiTheme="minorHAnsi" w:cstheme="minorHAnsi"/>
          <w:sz w:val="24"/>
          <w:szCs w:val="24"/>
        </w:rPr>
      </w:pPr>
      <w:r w:rsidRPr="009877C3">
        <w:rPr>
          <w:rFonts w:asciiTheme="minorHAnsi" w:eastAsiaTheme="minorEastAsia" w:hAnsiTheme="minorHAnsi" w:cstheme="minorHAnsi"/>
          <w:b/>
          <w:sz w:val="24"/>
          <w:szCs w:val="24"/>
        </w:rPr>
        <w:t>Ports.</w:t>
      </w:r>
      <w:r w:rsidR="00307E50">
        <w:rPr>
          <w:rFonts w:asciiTheme="minorHAnsi" w:eastAsiaTheme="minorEastAsia" w:hAnsiTheme="minorHAnsi" w:cstheme="minorHAnsi"/>
          <w:b/>
          <w:sz w:val="24"/>
          <w:szCs w:val="24"/>
        </w:rPr>
        <w:t xml:space="preserve"> </w:t>
      </w:r>
      <w:r>
        <w:rPr>
          <w:rFonts w:asciiTheme="minorHAnsi" w:eastAsiaTheme="minorEastAsia" w:hAnsiTheme="minorHAnsi" w:cstheme="minorHAnsi"/>
          <w:sz w:val="24"/>
          <w:szCs w:val="24"/>
        </w:rPr>
        <w:t xml:space="preserve"> </w:t>
      </w:r>
      <w:r w:rsidR="002E225A">
        <w:rPr>
          <w:rFonts w:asciiTheme="minorHAnsi" w:eastAsiaTheme="minorEastAsia" w:hAnsiTheme="minorHAnsi" w:cstheme="minorHAnsi"/>
          <w:sz w:val="24"/>
          <w:szCs w:val="24"/>
        </w:rPr>
        <w:t xml:space="preserve">If the port of Anchorage cannot handle the </w:t>
      </w:r>
      <w:r w:rsidR="005D46A7">
        <w:rPr>
          <w:rFonts w:asciiTheme="minorHAnsi" w:eastAsiaTheme="minorEastAsia" w:hAnsiTheme="minorHAnsi" w:cstheme="minorHAnsi"/>
          <w:sz w:val="24"/>
          <w:szCs w:val="24"/>
        </w:rPr>
        <w:t xml:space="preserve">full </w:t>
      </w:r>
      <w:r w:rsidR="002E225A">
        <w:rPr>
          <w:rFonts w:asciiTheme="minorHAnsi" w:eastAsiaTheme="minorEastAsia" w:hAnsiTheme="minorHAnsi" w:cstheme="minorHAnsi"/>
          <w:sz w:val="24"/>
          <w:szCs w:val="24"/>
        </w:rPr>
        <w:t xml:space="preserve">volume of construction material and equipment, the project would shift some cargoes to Seward. </w:t>
      </w:r>
      <w:r w:rsidR="00307E50">
        <w:rPr>
          <w:rFonts w:asciiTheme="minorHAnsi" w:eastAsiaTheme="minorEastAsia" w:hAnsiTheme="minorHAnsi" w:cstheme="minorHAnsi"/>
          <w:sz w:val="24"/>
          <w:szCs w:val="24"/>
        </w:rPr>
        <w:t xml:space="preserve"> </w:t>
      </w:r>
      <w:r w:rsidR="002E225A">
        <w:rPr>
          <w:rFonts w:asciiTheme="minorHAnsi" w:eastAsiaTheme="minorEastAsia" w:hAnsiTheme="minorHAnsi" w:cstheme="minorHAnsi"/>
          <w:sz w:val="24"/>
          <w:szCs w:val="24"/>
        </w:rPr>
        <w:t>AGDC’s response included the statement: “</w:t>
      </w:r>
      <w:r w:rsidR="00BE5F18" w:rsidRPr="001B29CB">
        <w:rPr>
          <w:rFonts w:asciiTheme="minorHAnsi" w:eastAsiaTheme="minorEastAsia" w:hAnsiTheme="minorHAnsi" w:cstheme="minorHAnsi"/>
          <w:sz w:val="24"/>
          <w:szCs w:val="24"/>
        </w:rPr>
        <w:t>There are no required modifications at any of these existing ports</w:t>
      </w:r>
      <w:r w:rsidR="002E225A">
        <w:rPr>
          <w:rFonts w:asciiTheme="minorHAnsi" w:eastAsiaTheme="minorEastAsia" w:hAnsiTheme="minorHAnsi" w:cstheme="minorHAnsi"/>
          <w:sz w:val="24"/>
          <w:szCs w:val="24"/>
        </w:rPr>
        <w:t xml:space="preserve"> (</w:t>
      </w:r>
      <w:r w:rsidR="00BE5F18" w:rsidRPr="001B29CB">
        <w:rPr>
          <w:rFonts w:asciiTheme="minorHAnsi" w:eastAsiaTheme="minorEastAsia" w:hAnsiTheme="minorHAnsi" w:cstheme="minorHAnsi"/>
          <w:sz w:val="24"/>
          <w:szCs w:val="24"/>
        </w:rPr>
        <w:t>Anchorage or Seward</w:t>
      </w:r>
      <w:r w:rsidR="002E225A">
        <w:rPr>
          <w:rFonts w:asciiTheme="minorHAnsi" w:eastAsiaTheme="minorEastAsia" w:hAnsiTheme="minorHAnsi" w:cstheme="minorHAnsi"/>
          <w:sz w:val="24"/>
          <w:szCs w:val="24"/>
        </w:rPr>
        <w:t>).”</w:t>
      </w:r>
    </w:p>
    <w:p w:rsidR="002E225A" w:rsidRDefault="002E225A" w:rsidP="001B29CB">
      <w:pPr>
        <w:spacing w:after="0"/>
        <w:rPr>
          <w:rFonts w:asciiTheme="minorHAnsi" w:eastAsiaTheme="minorEastAsia" w:hAnsiTheme="minorHAnsi" w:cstheme="minorHAnsi"/>
          <w:sz w:val="24"/>
          <w:szCs w:val="24"/>
        </w:rPr>
      </w:pPr>
    </w:p>
    <w:p w:rsidR="0045504A" w:rsidRPr="001B29CB" w:rsidRDefault="009877C3" w:rsidP="001B29CB">
      <w:pPr>
        <w:spacing w:after="0"/>
        <w:rPr>
          <w:rFonts w:asciiTheme="minorHAnsi" w:eastAsiaTheme="minorEastAsia" w:hAnsiTheme="minorHAnsi" w:cstheme="minorHAnsi"/>
          <w:sz w:val="24"/>
          <w:szCs w:val="24"/>
        </w:rPr>
      </w:pPr>
      <w:r w:rsidRPr="009877C3">
        <w:rPr>
          <w:rFonts w:asciiTheme="minorHAnsi" w:eastAsiaTheme="minorEastAsia" w:hAnsiTheme="minorHAnsi" w:cstheme="minorHAnsi"/>
          <w:b/>
          <w:sz w:val="24"/>
          <w:szCs w:val="24"/>
        </w:rPr>
        <w:t>Kenai Spur Highway relocation.</w:t>
      </w:r>
      <w:r>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AGDC provided detailed information on its route selection process for relocating almost 2 miles of the Kenai Spur Highway away from the LNG plant site, including a </w:t>
      </w:r>
      <w:hyperlink r:id="rId12" w:history="1">
        <w:r w:rsidR="00B94743" w:rsidRPr="00702675">
          <w:rPr>
            <w:rStyle w:val="Hyperlink"/>
            <w:rFonts w:asciiTheme="minorHAnsi" w:eastAsiaTheme="minorEastAsia" w:hAnsiTheme="minorHAnsi" w:cstheme="minorHAnsi"/>
            <w:b/>
            <w:sz w:val="24"/>
            <w:szCs w:val="24"/>
          </w:rPr>
          <w:t>map</w:t>
        </w:r>
        <w:r w:rsidRPr="00702675">
          <w:rPr>
            <w:rStyle w:val="Hyperlink"/>
            <w:rFonts w:asciiTheme="minorHAnsi" w:eastAsiaTheme="minorEastAsia" w:hAnsiTheme="minorHAnsi" w:cstheme="minorHAnsi"/>
            <w:b/>
            <w:sz w:val="24"/>
            <w:szCs w:val="24"/>
          </w:rPr>
          <w:t xml:space="preserve"> showing its two preferred alternative routes</w:t>
        </w:r>
      </w:hyperlink>
      <w:r w:rsidRPr="00702675">
        <w:rPr>
          <w:rFonts w:asciiTheme="minorHAnsi" w:eastAsiaTheme="minorEastAsia" w:hAnsiTheme="minorHAnsi" w:cstheme="minorHAnsi"/>
          <w:b/>
          <w:sz w:val="24"/>
          <w:szCs w:val="24"/>
        </w:rPr>
        <w:t>.</w:t>
      </w:r>
      <w:r w:rsidR="00307E50">
        <w:rPr>
          <w:rFonts w:asciiTheme="minorHAnsi" w:eastAsiaTheme="minorEastAsia" w:hAnsiTheme="minorHAnsi" w:cstheme="minorHAnsi"/>
          <w:b/>
          <w:sz w:val="24"/>
          <w:szCs w:val="24"/>
        </w:rPr>
        <w:t xml:space="preserve"> </w:t>
      </w:r>
      <w:r>
        <w:rPr>
          <w:rFonts w:asciiTheme="minorHAnsi" w:eastAsiaTheme="minorEastAsia" w:hAnsiTheme="minorHAnsi" w:cstheme="minorHAnsi"/>
          <w:sz w:val="24"/>
          <w:szCs w:val="24"/>
        </w:rPr>
        <w:t xml:space="preserve"> </w:t>
      </w:r>
      <w:r w:rsidR="00B94743">
        <w:rPr>
          <w:rFonts w:asciiTheme="minorHAnsi" w:eastAsiaTheme="minorEastAsia" w:hAnsiTheme="minorHAnsi" w:cstheme="minorHAnsi"/>
          <w:sz w:val="24"/>
          <w:szCs w:val="24"/>
        </w:rPr>
        <w:t xml:space="preserve">The project team is expected to meet with Nikiski residents in February to discuss the selection process, the alternatives, and the path forward. </w:t>
      </w:r>
      <w:r w:rsidR="00307E50">
        <w:rPr>
          <w:rFonts w:asciiTheme="minorHAnsi" w:eastAsiaTheme="minorEastAsia" w:hAnsiTheme="minorHAnsi" w:cstheme="minorHAnsi"/>
          <w:sz w:val="24"/>
          <w:szCs w:val="24"/>
        </w:rPr>
        <w:t xml:space="preserve"> </w:t>
      </w:r>
      <w:r w:rsidR="00B94743">
        <w:rPr>
          <w:rFonts w:asciiTheme="minorHAnsi" w:eastAsiaTheme="minorEastAsia" w:hAnsiTheme="minorHAnsi" w:cstheme="minorHAnsi"/>
          <w:sz w:val="24"/>
          <w:szCs w:val="24"/>
        </w:rPr>
        <w:t xml:space="preserve">The highway relocation is controversial in the community, most notably among homeowners </w:t>
      </w:r>
      <w:r w:rsidR="005D46A7">
        <w:rPr>
          <w:rFonts w:asciiTheme="minorHAnsi" w:eastAsiaTheme="minorEastAsia" w:hAnsiTheme="minorHAnsi" w:cstheme="minorHAnsi"/>
          <w:sz w:val="24"/>
          <w:szCs w:val="24"/>
        </w:rPr>
        <w:t>who</w:t>
      </w:r>
      <w:r w:rsidR="00B94743">
        <w:rPr>
          <w:rFonts w:asciiTheme="minorHAnsi" w:eastAsiaTheme="minorEastAsia" w:hAnsiTheme="minorHAnsi" w:cstheme="minorHAnsi"/>
          <w:sz w:val="24"/>
          <w:szCs w:val="24"/>
        </w:rPr>
        <w:t xml:space="preserve"> would be in the path of the new highway and among the entire community for the lack of any updates on the route selection process over the past two years. </w:t>
      </w:r>
      <w:r w:rsidR="00307E50">
        <w:rPr>
          <w:rFonts w:asciiTheme="minorHAnsi" w:eastAsiaTheme="minorEastAsia" w:hAnsiTheme="minorHAnsi" w:cstheme="minorHAnsi"/>
          <w:sz w:val="24"/>
          <w:szCs w:val="24"/>
        </w:rPr>
        <w:t xml:space="preserve"> </w:t>
      </w:r>
      <w:r w:rsidR="00B94743">
        <w:rPr>
          <w:rFonts w:asciiTheme="minorHAnsi" w:eastAsiaTheme="minorEastAsia" w:hAnsiTheme="minorHAnsi" w:cstheme="minorHAnsi"/>
          <w:sz w:val="24"/>
          <w:szCs w:val="24"/>
        </w:rPr>
        <w:t>“</w:t>
      </w:r>
      <w:r w:rsidR="0045504A" w:rsidRPr="001B29CB">
        <w:rPr>
          <w:rFonts w:asciiTheme="minorHAnsi" w:eastAsiaTheme="minorEastAsia" w:hAnsiTheme="minorHAnsi" w:cstheme="minorHAnsi"/>
          <w:sz w:val="24"/>
          <w:szCs w:val="24"/>
        </w:rPr>
        <w:t>The relocation project has not advanced into detailed design</w:t>
      </w:r>
      <w:r w:rsidR="00B94743">
        <w:rPr>
          <w:rFonts w:asciiTheme="minorHAnsi" w:eastAsiaTheme="minorEastAsia" w:hAnsiTheme="minorHAnsi" w:cstheme="minorHAnsi"/>
          <w:sz w:val="24"/>
          <w:szCs w:val="24"/>
        </w:rPr>
        <w:t xml:space="preserve">,” AGDC told FERC. </w:t>
      </w:r>
      <w:r w:rsidR="00307E50">
        <w:rPr>
          <w:rFonts w:asciiTheme="minorHAnsi" w:eastAsiaTheme="minorEastAsia" w:hAnsiTheme="minorHAnsi" w:cstheme="minorHAnsi"/>
          <w:sz w:val="24"/>
          <w:szCs w:val="24"/>
        </w:rPr>
        <w:t xml:space="preserve"> </w:t>
      </w:r>
      <w:r w:rsidR="00B94743">
        <w:rPr>
          <w:rFonts w:asciiTheme="minorHAnsi" w:eastAsiaTheme="minorEastAsia" w:hAnsiTheme="minorHAnsi" w:cstheme="minorHAnsi"/>
          <w:sz w:val="24"/>
          <w:szCs w:val="24"/>
        </w:rPr>
        <w:t>“</w:t>
      </w:r>
      <w:r w:rsidR="0045504A" w:rsidRPr="001B29CB">
        <w:rPr>
          <w:rFonts w:asciiTheme="minorHAnsi" w:eastAsiaTheme="minorEastAsia" w:hAnsiTheme="minorHAnsi" w:cstheme="minorHAnsi"/>
          <w:sz w:val="24"/>
          <w:szCs w:val="24"/>
        </w:rPr>
        <w:t>Once a preferred alternative is selected</w:t>
      </w:r>
      <w:r w:rsidR="003605A8">
        <w:rPr>
          <w:rFonts w:asciiTheme="minorHAnsi" w:eastAsiaTheme="minorEastAsia" w:hAnsiTheme="minorHAnsi" w:cstheme="minorHAnsi"/>
          <w:sz w:val="24"/>
          <w:szCs w:val="24"/>
        </w:rPr>
        <w:t>,</w:t>
      </w:r>
      <w:r w:rsidR="0045504A" w:rsidRPr="001B29CB">
        <w:rPr>
          <w:rFonts w:asciiTheme="minorHAnsi" w:eastAsiaTheme="minorEastAsia" w:hAnsiTheme="minorHAnsi" w:cstheme="minorHAnsi"/>
          <w:sz w:val="24"/>
          <w:szCs w:val="24"/>
        </w:rPr>
        <w:t xml:space="preserve"> detailed design will include intersection details, driveway access, and traffic control both permanent and temporary during construction.</w:t>
      </w:r>
      <w:r w:rsidR="00B94743">
        <w:rPr>
          <w:rFonts w:asciiTheme="minorHAnsi" w:eastAsiaTheme="minorEastAsia" w:hAnsiTheme="minorHAnsi" w:cstheme="minorHAnsi"/>
          <w:sz w:val="24"/>
          <w:szCs w:val="24"/>
        </w:rPr>
        <w:t xml:space="preserve">” </w:t>
      </w:r>
      <w:r w:rsidR="00307E50">
        <w:rPr>
          <w:rFonts w:asciiTheme="minorHAnsi" w:eastAsiaTheme="minorEastAsia" w:hAnsiTheme="minorHAnsi" w:cstheme="minorHAnsi"/>
          <w:sz w:val="24"/>
          <w:szCs w:val="24"/>
        </w:rPr>
        <w:t xml:space="preserve"> </w:t>
      </w:r>
      <w:r w:rsidR="00B94743">
        <w:rPr>
          <w:rFonts w:asciiTheme="minorHAnsi" w:eastAsiaTheme="minorEastAsia" w:hAnsiTheme="minorHAnsi" w:cstheme="minorHAnsi"/>
          <w:sz w:val="24"/>
          <w:szCs w:val="24"/>
        </w:rPr>
        <w:t xml:space="preserve">The two preferred alternatives </w:t>
      </w:r>
      <w:r w:rsidR="003605A8">
        <w:rPr>
          <w:rFonts w:asciiTheme="minorHAnsi" w:eastAsiaTheme="minorEastAsia" w:hAnsiTheme="minorHAnsi" w:cstheme="minorHAnsi"/>
          <w:sz w:val="24"/>
          <w:szCs w:val="24"/>
        </w:rPr>
        <w:t xml:space="preserve">would </w:t>
      </w:r>
      <w:r w:rsidR="00B94743">
        <w:rPr>
          <w:rFonts w:asciiTheme="minorHAnsi" w:eastAsiaTheme="minorEastAsia" w:hAnsiTheme="minorHAnsi" w:cstheme="minorHAnsi"/>
          <w:sz w:val="24"/>
          <w:szCs w:val="24"/>
        </w:rPr>
        <w:t xml:space="preserve">both move </w:t>
      </w:r>
      <w:r w:rsidR="003605A8">
        <w:rPr>
          <w:rFonts w:asciiTheme="minorHAnsi" w:eastAsiaTheme="minorEastAsia" w:hAnsiTheme="minorHAnsi" w:cstheme="minorHAnsi"/>
          <w:sz w:val="24"/>
          <w:szCs w:val="24"/>
        </w:rPr>
        <w:t>the highway</w:t>
      </w:r>
      <w:r w:rsidR="00B94743">
        <w:rPr>
          <w:rFonts w:asciiTheme="minorHAnsi" w:eastAsiaTheme="minorEastAsia" w:hAnsiTheme="minorHAnsi" w:cstheme="minorHAnsi"/>
          <w:sz w:val="24"/>
          <w:szCs w:val="24"/>
        </w:rPr>
        <w:t xml:space="preserve"> east of the proposed plant site; one route is about 5 miles long and other 7 miles</w:t>
      </w:r>
      <w:r w:rsidR="003605A8">
        <w:rPr>
          <w:rFonts w:asciiTheme="minorHAnsi" w:eastAsiaTheme="minorEastAsia" w:hAnsiTheme="minorHAnsi" w:cstheme="minorHAnsi"/>
          <w:sz w:val="24"/>
          <w:szCs w:val="24"/>
        </w:rPr>
        <w:t>, both going</w:t>
      </w:r>
      <w:r w:rsidR="00B94743">
        <w:rPr>
          <w:rFonts w:asciiTheme="minorHAnsi" w:eastAsiaTheme="minorEastAsia" w:hAnsiTheme="minorHAnsi" w:cstheme="minorHAnsi"/>
          <w:sz w:val="24"/>
          <w:szCs w:val="24"/>
        </w:rPr>
        <w:t xml:space="preserve"> through dev</w:t>
      </w:r>
      <w:r w:rsidR="00307E50">
        <w:rPr>
          <w:rFonts w:asciiTheme="minorHAnsi" w:eastAsiaTheme="minorEastAsia" w:hAnsiTheme="minorHAnsi" w:cstheme="minorHAnsi"/>
          <w:sz w:val="24"/>
          <w:szCs w:val="24"/>
        </w:rPr>
        <w:t>eloped and undeveloped parcels.</w:t>
      </w:r>
    </w:p>
    <w:sectPr w:rsidR="0045504A" w:rsidRPr="001B29C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769" w:rsidRDefault="00B83769" w:rsidP="00F157F9">
      <w:pPr>
        <w:spacing w:after="0"/>
      </w:pPr>
      <w:r>
        <w:separator/>
      </w:r>
    </w:p>
  </w:endnote>
  <w:endnote w:type="continuationSeparator" w:id="0">
    <w:p w:rsidR="00B83769" w:rsidRDefault="00B83769" w:rsidP="00F15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0F" w:rsidRDefault="00BB28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244579"/>
      <w:docPartObj>
        <w:docPartGallery w:val="Page Numbers (Bottom of Page)"/>
        <w:docPartUnique/>
      </w:docPartObj>
    </w:sdtPr>
    <w:sdtEndPr>
      <w:rPr>
        <w:color w:val="7F7F7F" w:themeColor="background1" w:themeShade="7F"/>
        <w:spacing w:val="60"/>
      </w:rPr>
    </w:sdtEndPr>
    <w:sdtContent>
      <w:p w:rsidR="00BB280F" w:rsidRDefault="00BB280F">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7A31">
          <w:rPr>
            <w:noProof/>
          </w:rPr>
          <w:t>1</w:t>
        </w:r>
        <w:r>
          <w:rPr>
            <w:noProof/>
          </w:rPr>
          <w:fldChar w:fldCharType="end"/>
        </w:r>
        <w:r>
          <w:t xml:space="preserve"> | </w:t>
        </w:r>
        <w:r>
          <w:rPr>
            <w:color w:val="7F7F7F" w:themeColor="background1" w:themeShade="7F"/>
            <w:spacing w:val="60"/>
          </w:rPr>
          <w:t>Page</w:t>
        </w:r>
      </w:p>
    </w:sdtContent>
  </w:sdt>
  <w:p w:rsidR="00BB280F" w:rsidRDefault="00BB2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0F" w:rsidRDefault="00BB2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769" w:rsidRDefault="00B83769" w:rsidP="00F157F9">
      <w:pPr>
        <w:spacing w:after="0"/>
      </w:pPr>
      <w:r>
        <w:separator/>
      </w:r>
    </w:p>
  </w:footnote>
  <w:footnote w:type="continuationSeparator" w:id="0">
    <w:p w:rsidR="00B83769" w:rsidRDefault="00B83769" w:rsidP="00F157F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0F" w:rsidRDefault="00BB28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0F" w:rsidRDefault="00BB28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280F" w:rsidRDefault="00BB28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77024"/>
    <w:multiLevelType w:val="hybridMultilevel"/>
    <w:tmpl w:val="D16A4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B560BE"/>
    <w:multiLevelType w:val="hybridMultilevel"/>
    <w:tmpl w:val="231AE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47804"/>
    <w:multiLevelType w:val="hybridMultilevel"/>
    <w:tmpl w:val="EEA27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B06C1"/>
    <w:multiLevelType w:val="multilevel"/>
    <w:tmpl w:val="A830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4844282"/>
    <w:multiLevelType w:val="multilevel"/>
    <w:tmpl w:val="489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D7C"/>
    <w:rsid w:val="000238F4"/>
    <w:rsid w:val="00027344"/>
    <w:rsid w:val="000868C0"/>
    <w:rsid w:val="000872B0"/>
    <w:rsid w:val="000875BC"/>
    <w:rsid w:val="00090E5A"/>
    <w:rsid w:val="000A75B9"/>
    <w:rsid w:val="000B2593"/>
    <w:rsid w:val="000B4CE0"/>
    <w:rsid w:val="000B7B8E"/>
    <w:rsid w:val="000C0403"/>
    <w:rsid w:val="000E3349"/>
    <w:rsid w:val="000E710D"/>
    <w:rsid w:val="000F47D9"/>
    <w:rsid w:val="00122565"/>
    <w:rsid w:val="00177D2B"/>
    <w:rsid w:val="00193271"/>
    <w:rsid w:val="001A26A7"/>
    <w:rsid w:val="001A7E59"/>
    <w:rsid w:val="001B29CB"/>
    <w:rsid w:val="001B2AD0"/>
    <w:rsid w:val="001C0677"/>
    <w:rsid w:val="001C37B0"/>
    <w:rsid w:val="001D6B03"/>
    <w:rsid w:val="00205101"/>
    <w:rsid w:val="00206A2F"/>
    <w:rsid w:val="00213CCB"/>
    <w:rsid w:val="002149C5"/>
    <w:rsid w:val="002162B8"/>
    <w:rsid w:val="002305C1"/>
    <w:rsid w:val="002360DB"/>
    <w:rsid w:val="00240988"/>
    <w:rsid w:val="002418BC"/>
    <w:rsid w:val="00257A31"/>
    <w:rsid w:val="002773A5"/>
    <w:rsid w:val="002834B1"/>
    <w:rsid w:val="0029694B"/>
    <w:rsid w:val="002A33DB"/>
    <w:rsid w:val="002B1558"/>
    <w:rsid w:val="002C04D6"/>
    <w:rsid w:val="002D27C5"/>
    <w:rsid w:val="002E0C69"/>
    <w:rsid w:val="002E1DA8"/>
    <w:rsid w:val="002E225A"/>
    <w:rsid w:val="002E6055"/>
    <w:rsid w:val="002F511F"/>
    <w:rsid w:val="00307E50"/>
    <w:rsid w:val="00342225"/>
    <w:rsid w:val="00343EFE"/>
    <w:rsid w:val="003478FD"/>
    <w:rsid w:val="00353533"/>
    <w:rsid w:val="00355B23"/>
    <w:rsid w:val="003605A8"/>
    <w:rsid w:val="003C1997"/>
    <w:rsid w:val="003C1CCA"/>
    <w:rsid w:val="003C6A98"/>
    <w:rsid w:val="003E436A"/>
    <w:rsid w:val="003F01A2"/>
    <w:rsid w:val="003F3B59"/>
    <w:rsid w:val="003F60AA"/>
    <w:rsid w:val="00400EC5"/>
    <w:rsid w:val="00421425"/>
    <w:rsid w:val="0045504A"/>
    <w:rsid w:val="00463DB1"/>
    <w:rsid w:val="00466EE0"/>
    <w:rsid w:val="00467A32"/>
    <w:rsid w:val="004A467E"/>
    <w:rsid w:val="004A7414"/>
    <w:rsid w:val="004B0690"/>
    <w:rsid w:val="004B2914"/>
    <w:rsid w:val="004C39A0"/>
    <w:rsid w:val="004D38E7"/>
    <w:rsid w:val="004D54FC"/>
    <w:rsid w:val="004E026C"/>
    <w:rsid w:val="004E67F4"/>
    <w:rsid w:val="004F5DEE"/>
    <w:rsid w:val="00501E6B"/>
    <w:rsid w:val="0050659F"/>
    <w:rsid w:val="005067C8"/>
    <w:rsid w:val="00511D7B"/>
    <w:rsid w:val="005224C0"/>
    <w:rsid w:val="00530F02"/>
    <w:rsid w:val="00550B72"/>
    <w:rsid w:val="00570081"/>
    <w:rsid w:val="0057008F"/>
    <w:rsid w:val="00573FAE"/>
    <w:rsid w:val="0058092F"/>
    <w:rsid w:val="00582E11"/>
    <w:rsid w:val="00583BB5"/>
    <w:rsid w:val="00594E07"/>
    <w:rsid w:val="00596149"/>
    <w:rsid w:val="005A6C2D"/>
    <w:rsid w:val="005D46A7"/>
    <w:rsid w:val="005D6BB1"/>
    <w:rsid w:val="0060136E"/>
    <w:rsid w:val="006126EC"/>
    <w:rsid w:val="00623843"/>
    <w:rsid w:val="0064150A"/>
    <w:rsid w:val="00641EFA"/>
    <w:rsid w:val="00644654"/>
    <w:rsid w:val="00647348"/>
    <w:rsid w:val="00647A1E"/>
    <w:rsid w:val="0067464A"/>
    <w:rsid w:val="00676756"/>
    <w:rsid w:val="00685B69"/>
    <w:rsid w:val="0069252E"/>
    <w:rsid w:val="006E003F"/>
    <w:rsid w:val="006E01B7"/>
    <w:rsid w:val="006E1F8A"/>
    <w:rsid w:val="006F100B"/>
    <w:rsid w:val="006F617A"/>
    <w:rsid w:val="006F6662"/>
    <w:rsid w:val="00702675"/>
    <w:rsid w:val="00714281"/>
    <w:rsid w:val="0072183F"/>
    <w:rsid w:val="0072629B"/>
    <w:rsid w:val="007421B3"/>
    <w:rsid w:val="007441AA"/>
    <w:rsid w:val="00746FC6"/>
    <w:rsid w:val="0075359F"/>
    <w:rsid w:val="00771AFD"/>
    <w:rsid w:val="00797455"/>
    <w:rsid w:val="007A0606"/>
    <w:rsid w:val="007B0D35"/>
    <w:rsid w:val="007D0044"/>
    <w:rsid w:val="007D1A27"/>
    <w:rsid w:val="007F4D88"/>
    <w:rsid w:val="00805EA6"/>
    <w:rsid w:val="00815459"/>
    <w:rsid w:val="0081602C"/>
    <w:rsid w:val="00830759"/>
    <w:rsid w:val="008357BF"/>
    <w:rsid w:val="00835B1F"/>
    <w:rsid w:val="00840EA8"/>
    <w:rsid w:val="008715C7"/>
    <w:rsid w:val="00873419"/>
    <w:rsid w:val="008945F1"/>
    <w:rsid w:val="00896EE2"/>
    <w:rsid w:val="008A022B"/>
    <w:rsid w:val="008A4BE8"/>
    <w:rsid w:val="008B55BD"/>
    <w:rsid w:val="008C5E21"/>
    <w:rsid w:val="008D4487"/>
    <w:rsid w:val="008E4972"/>
    <w:rsid w:val="008F2D1A"/>
    <w:rsid w:val="008F545A"/>
    <w:rsid w:val="009055BD"/>
    <w:rsid w:val="00907692"/>
    <w:rsid w:val="00940BE3"/>
    <w:rsid w:val="00977D6F"/>
    <w:rsid w:val="00984C7C"/>
    <w:rsid w:val="009877C3"/>
    <w:rsid w:val="00997A8F"/>
    <w:rsid w:val="009A4859"/>
    <w:rsid w:val="009C33AF"/>
    <w:rsid w:val="009C3CF7"/>
    <w:rsid w:val="009C7D06"/>
    <w:rsid w:val="009D1EA9"/>
    <w:rsid w:val="009D6AFA"/>
    <w:rsid w:val="009D7968"/>
    <w:rsid w:val="009F02B2"/>
    <w:rsid w:val="00A22D7C"/>
    <w:rsid w:val="00A25767"/>
    <w:rsid w:val="00A27528"/>
    <w:rsid w:val="00A331A8"/>
    <w:rsid w:val="00A618FB"/>
    <w:rsid w:val="00A61F2D"/>
    <w:rsid w:val="00A708B7"/>
    <w:rsid w:val="00A806F4"/>
    <w:rsid w:val="00A8313A"/>
    <w:rsid w:val="00A852EF"/>
    <w:rsid w:val="00A9139C"/>
    <w:rsid w:val="00A96EF1"/>
    <w:rsid w:val="00AA6073"/>
    <w:rsid w:val="00AB61EF"/>
    <w:rsid w:val="00AB7547"/>
    <w:rsid w:val="00AC0984"/>
    <w:rsid w:val="00AC3048"/>
    <w:rsid w:val="00AE2027"/>
    <w:rsid w:val="00AF0431"/>
    <w:rsid w:val="00B0722A"/>
    <w:rsid w:val="00B12BFC"/>
    <w:rsid w:val="00B23FFD"/>
    <w:rsid w:val="00B265BB"/>
    <w:rsid w:val="00B27B6C"/>
    <w:rsid w:val="00B437AF"/>
    <w:rsid w:val="00B83769"/>
    <w:rsid w:val="00B94178"/>
    <w:rsid w:val="00B94743"/>
    <w:rsid w:val="00B961F9"/>
    <w:rsid w:val="00BB1463"/>
    <w:rsid w:val="00BB280F"/>
    <w:rsid w:val="00BC7CA6"/>
    <w:rsid w:val="00BD64C0"/>
    <w:rsid w:val="00BE5F18"/>
    <w:rsid w:val="00BE7068"/>
    <w:rsid w:val="00BF352A"/>
    <w:rsid w:val="00C06BD6"/>
    <w:rsid w:val="00C111BA"/>
    <w:rsid w:val="00C11688"/>
    <w:rsid w:val="00C12704"/>
    <w:rsid w:val="00C17534"/>
    <w:rsid w:val="00C219A3"/>
    <w:rsid w:val="00C55CA4"/>
    <w:rsid w:val="00C70563"/>
    <w:rsid w:val="00C71AA8"/>
    <w:rsid w:val="00C77E16"/>
    <w:rsid w:val="00CB3E82"/>
    <w:rsid w:val="00CE00F5"/>
    <w:rsid w:val="00CE751D"/>
    <w:rsid w:val="00CF387E"/>
    <w:rsid w:val="00CF3B37"/>
    <w:rsid w:val="00CF5F46"/>
    <w:rsid w:val="00CF7021"/>
    <w:rsid w:val="00CF75FD"/>
    <w:rsid w:val="00D06C18"/>
    <w:rsid w:val="00D07289"/>
    <w:rsid w:val="00D345E0"/>
    <w:rsid w:val="00D35A30"/>
    <w:rsid w:val="00D36561"/>
    <w:rsid w:val="00D503B6"/>
    <w:rsid w:val="00D608B3"/>
    <w:rsid w:val="00D6530A"/>
    <w:rsid w:val="00D65DD0"/>
    <w:rsid w:val="00DA2D1A"/>
    <w:rsid w:val="00DA5B3B"/>
    <w:rsid w:val="00DD6541"/>
    <w:rsid w:val="00DD6955"/>
    <w:rsid w:val="00E04793"/>
    <w:rsid w:val="00E27893"/>
    <w:rsid w:val="00E346B8"/>
    <w:rsid w:val="00E83F95"/>
    <w:rsid w:val="00E856F8"/>
    <w:rsid w:val="00E925C4"/>
    <w:rsid w:val="00EB28F7"/>
    <w:rsid w:val="00EB3918"/>
    <w:rsid w:val="00EC6B9B"/>
    <w:rsid w:val="00ED0B5E"/>
    <w:rsid w:val="00EE764C"/>
    <w:rsid w:val="00EF1864"/>
    <w:rsid w:val="00F079C6"/>
    <w:rsid w:val="00F117FF"/>
    <w:rsid w:val="00F12F4E"/>
    <w:rsid w:val="00F157F9"/>
    <w:rsid w:val="00F21D88"/>
    <w:rsid w:val="00F27A15"/>
    <w:rsid w:val="00F37F11"/>
    <w:rsid w:val="00F4035A"/>
    <w:rsid w:val="00F8449B"/>
    <w:rsid w:val="00F91D7E"/>
    <w:rsid w:val="00F96BB2"/>
    <w:rsid w:val="00FA48F8"/>
    <w:rsid w:val="00FA55A8"/>
    <w:rsid w:val="00FB252C"/>
    <w:rsid w:val="00FB4632"/>
    <w:rsid w:val="00FC1FE4"/>
    <w:rsid w:val="00FC5386"/>
    <w:rsid w:val="00FE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664B367-1CC5-4F02-B225-ED9A001C2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1A8"/>
    <w:pPr>
      <w:spacing w:after="24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31A8"/>
    <w:rPr>
      <w:color w:val="0563C1" w:themeColor="hyperlink"/>
      <w:u w:val="single"/>
    </w:rPr>
  </w:style>
  <w:style w:type="character" w:customStyle="1" w:styleId="UnresolvedMention">
    <w:name w:val="Unresolved Mention"/>
    <w:basedOn w:val="DefaultParagraphFont"/>
    <w:uiPriority w:val="99"/>
    <w:semiHidden/>
    <w:unhideWhenUsed/>
    <w:rsid w:val="00F27A15"/>
    <w:rPr>
      <w:color w:val="808080"/>
      <w:shd w:val="clear" w:color="auto" w:fill="E6E6E6"/>
    </w:rPr>
  </w:style>
  <w:style w:type="paragraph" w:styleId="ListParagraph">
    <w:name w:val="List Paragraph"/>
    <w:basedOn w:val="Normal"/>
    <w:uiPriority w:val="34"/>
    <w:qFormat/>
    <w:rsid w:val="00213CCB"/>
    <w:pPr>
      <w:ind w:left="720"/>
      <w:contextualSpacing/>
    </w:pPr>
  </w:style>
  <w:style w:type="paragraph" w:styleId="NormalWeb">
    <w:name w:val="Normal (Web)"/>
    <w:basedOn w:val="Normal"/>
    <w:uiPriority w:val="99"/>
    <w:semiHidden/>
    <w:unhideWhenUsed/>
    <w:rsid w:val="00C17534"/>
    <w:pPr>
      <w:spacing w:after="135"/>
    </w:pPr>
    <w:rPr>
      <w:rFonts w:eastAsia="Times New Roman"/>
      <w:sz w:val="24"/>
      <w:szCs w:val="24"/>
    </w:rPr>
  </w:style>
  <w:style w:type="paragraph" w:styleId="Header">
    <w:name w:val="header"/>
    <w:basedOn w:val="Normal"/>
    <w:link w:val="HeaderChar"/>
    <w:uiPriority w:val="99"/>
    <w:unhideWhenUsed/>
    <w:rsid w:val="00F157F9"/>
    <w:pPr>
      <w:tabs>
        <w:tab w:val="center" w:pos="4680"/>
        <w:tab w:val="right" w:pos="9360"/>
      </w:tabs>
      <w:spacing w:after="0"/>
    </w:pPr>
  </w:style>
  <w:style w:type="character" w:customStyle="1" w:styleId="HeaderChar">
    <w:name w:val="Header Char"/>
    <w:basedOn w:val="DefaultParagraphFont"/>
    <w:link w:val="Header"/>
    <w:uiPriority w:val="99"/>
    <w:rsid w:val="00F157F9"/>
    <w:rPr>
      <w:rFonts w:ascii="Times New Roman" w:eastAsia="Calibri" w:hAnsi="Times New Roman" w:cs="Times New Roman"/>
      <w:sz w:val="26"/>
    </w:rPr>
  </w:style>
  <w:style w:type="paragraph" w:styleId="Footer">
    <w:name w:val="footer"/>
    <w:basedOn w:val="Normal"/>
    <w:link w:val="FooterChar"/>
    <w:uiPriority w:val="99"/>
    <w:unhideWhenUsed/>
    <w:rsid w:val="00F157F9"/>
    <w:pPr>
      <w:tabs>
        <w:tab w:val="center" w:pos="4680"/>
        <w:tab w:val="right" w:pos="9360"/>
      </w:tabs>
      <w:spacing w:after="0"/>
    </w:pPr>
  </w:style>
  <w:style w:type="character" w:customStyle="1" w:styleId="FooterChar">
    <w:name w:val="Footer Char"/>
    <w:basedOn w:val="DefaultParagraphFont"/>
    <w:link w:val="Footer"/>
    <w:uiPriority w:val="99"/>
    <w:rsid w:val="00F157F9"/>
    <w:rPr>
      <w:rFonts w:ascii="Times New Roman" w:eastAsia="Calibri" w:hAnsi="Times New Roman" w:cs="Times New Roman"/>
      <w:sz w:val="26"/>
    </w:rPr>
  </w:style>
  <w:style w:type="paragraph" w:styleId="BalloonText">
    <w:name w:val="Balloon Text"/>
    <w:basedOn w:val="Normal"/>
    <w:link w:val="BalloonTextChar"/>
    <w:uiPriority w:val="99"/>
    <w:semiHidden/>
    <w:unhideWhenUsed/>
    <w:rsid w:val="00A708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8B7"/>
    <w:rPr>
      <w:rFonts w:ascii="Segoe UI" w:eastAsia="Calibri" w:hAnsi="Segoe UI" w:cs="Segoe UI"/>
      <w:sz w:val="18"/>
      <w:szCs w:val="18"/>
    </w:rPr>
  </w:style>
  <w:style w:type="character" w:styleId="FollowedHyperlink">
    <w:name w:val="FollowedHyperlink"/>
    <w:basedOn w:val="DefaultParagraphFont"/>
    <w:uiPriority w:val="99"/>
    <w:semiHidden/>
    <w:unhideWhenUsed/>
    <w:rsid w:val="00A708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372433">
      <w:bodyDiv w:val="1"/>
      <w:marLeft w:val="0"/>
      <w:marRight w:val="0"/>
      <w:marTop w:val="0"/>
      <w:marBottom w:val="0"/>
      <w:divBdr>
        <w:top w:val="none" w:sz="0" w:space="0" w:color="auto"/>
        <w:left w:val="none" w:sz="0" w:space="0" w:color="auto"/>
        <w:bottom w:val="none" w:sz="0" w:space="0" w:color="auto"/>
        <w:right w:val="none" w:sz="0" w:space="0" w:color="auto"/>
      </w:divBdr>
    </w:div>
    <w:div w:id="300111320">
      <w:bodyDiv w:val="1"/>
      <w:marLeft w:val="0"/>
      <w:marRight w:val="0"/>
      <w:marTop w:val="0"/>
      <w:marBottom w:val="0"/>
      <w:divBdr>
        <w:top w:val="none" w:sz="0" w:space="0" w:color="auto"/>
        <w:left w:val="none" w:sz="0" w:space="0" w:color="auto"/>
        <w:bottom w:val="none" w:sz="0" w:space="0" w:color="auto"/>
        <w:right w:val="none" w:sz="0" w:space="0" w:color="auto"/>
      </w:divBdr>
    </w:div>
    <w:div w:id="1150368988">
      <w:bodyDiv w:val="1"/>
      <w:marLeft w:val="0"/>
      <w:marRight w:val="0"/>
      <w:marTop w:val="0"/>
      <w:marBottom w:val="0"/>
      <w:divBdr>
        <w:top w:val="none" w:sz="0" w:space="0" w:color="auto"/>
        <w:left w:val="none" w:sz="0" w:space="0" w:color="auto"/>
        <w:bottom w:val="none" w:sz="0" w:space="0" w:color="auto"/>
        <w:right w:val="none" w:sz="0" w:space="0" w:color="auto"/>
      </w:divBdr>
      <w:divsChild>
        <w:div w:id="1238512502">
          <w:marLeft w:val="0"/>
          <w:marRight w:val="0"/>
          <w:marTop w:val="0"/>
          <w:marBottom w:val="0"/>
          <w:divBdr>
            <w:top w:val="none" w:sz="0" w:space="0" w:color="auto"/>
            <w:left w:val="none" w:sz="0" w:space="0" w:color="auto"/>
            <w:bottom w:val="none" w:sz="0" w:space="0" w:color="auto"/>
            <w:right w:val="none" w:sz="0" w:space="0" w:color="auto"/>
          </w:divBdr>
          <w:divsChild>
            <w:div w:id="538013846">
              <w:marLeft w:val="0"/>
              <w:marRight w:val="0"/>
              <w:marTop w:val="0"/>
              <w:marBottom w:val="0"/>
              <w:divBdr>
                <w:top w:val="none" w:sz="0" w:space="0" w:color="auto"/>
                <w:left w:val="none" w:sz="0" w:space="0" w:color="auto"/>
                <w:bottom w:val="none" w:sz="0" w:space="0" w:color="auto"/>
                <w:right w:val="none" w:sz="0" w:space="0" w:color="auto"/>
              </w:divBdr>
              <w:divsChild>
                <w:div w:id="244342097">
                  <w:marLeft w:val="0"/>
                  <w:marRight w:val="0"/>
                  <w:marTop w:val="0"/>
                  <w:marBottom w:val="0"/>
                  <w:divBdr>
                    <w:top w:val="none" w:sz="0" w:space="0" w:color="auto"/>
                    <w:left w:val="none" w:sz="0" w:space="0" w:color="auto"/>
                    <w:bottom w:val="none" w:sz="0" w:space="0" w:color="auto"/>
                    <w:right w:val="none" w:sz="0" w:space="0" w:color="auto"/>
                  </w:divBdr>
                  <w:divsChild>
                    <w:div w:id="1341856230">
                      <w:marLeft w:val="0"/>
                      <w:marRight w:val="0"/>
                      <w:marTop w:val="0"/>
                      <w:marBottom w:val="0"/>
                      <w:divBdr>
                        <w:top w:val="none" w:sz="0" w:space="0" w:color="auto"/>
                        <w:left w:val="none" w:sz="0" w:space="0" w:color="auto"/>
                        <w:bottom w:val="none" w:sz="0" w:space="0" w:color="auto"/>
                        <w:right w:val="none" w:sz="0" w:space="0" w:color="auto"/>
                      </w:divBdr>
                      <w:divsChild>
                        <w:div w:id="195135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2541611">
      <w:bodyDiv w:val="1"/>
      <w:marLeft w:val="0"/>
      <w:marRight w:val="0"/>
      <w:marTop w:val="0"/>
      <w:marBottom w:val="0"/>
      <w:divBdr>
        <w:top w:val="none" w:sz="0" w:space="0" w:color="auto"/>
        <w:left w:val="none" w:sz="0" w:space="0" w:color="auto"/>
        <w:bottom w:val="none" w:sz="0" w:space="0" w:color="auto"/>
        <w:right w:val="none" w:sz="0" w:space="0" w:color="auto"/>
      </w:divBdr>
      <w:divsChild>
        <w:div w:id="1992324861">
          <w:marLeft w:val="0"/>
          <w:marRight w:val="0"/>
          <w:marTop w:val="0"/>
          <w:marBottom w:val="0"/>
          <w:divBdr>
            <w:top w:val="none" w:sz="0" w:space="0" w:color="auto"/>
            <w:left w:val="none" w:sz="0" w:space="0" w:color="auto"/>
            <w:bottom w:val="none" w:sz="0" w:space="0" w:color="auto"/>
            <w:right w:val="none" w:sz="0" w:space="0" w:color="auto"/>
          </w:divBdr>
          <w:divsChild>
            <w:div w:id="2037999873">
              <w:marLeft w:val="0"/>
              <w:marRight w:val="0"/>
              <w:marTop w:val="0"/>
              <w:marBottom w:val="0"/>
              <w:divBdr>
                <w:top w:val="none" w:sz="0" w:space="0" w:color="auto"/>
                <w:left w:val="none" w:sz="0" w:space="0" w:color="auto"/>
                <w:bottom w:val="none" w:sz="0" w:space="0" w:color="auto"/>
                <w:right w:val="none" w:sz="0" w:space="0" w:color="auto"/>
              </w:divBdr>
              <w:divsChild>
                <w:div w:id="111676657">
                  <w:marLeft w:val="0"/>
                  <w:marRight w:val="0"/>
                  <w:marTop w:val="0"/>
                  <w:marBottom w:val="0"/>
                  <w:divBdr>
                    <w:top w:val="none" w:sz="0" w:space="0" w:color="auto"/>
                    <w:left w:val="none" w:sz="0" w:space="0" w:color="auto"/>
                    <w:bottom w:val="none" w:sz="0" w:space="0" w:color="auto"/>
                    <w:right w:val="none" w:sz="0" w:space="0" w:color="auto"/>
                  </w:divBdr>
                  <w:divsChild>
                    <w:div w:id="1903829535">
                      <w:marLeft w:val="0"/>
                      <w:marRight w:val="0"/>
                      <w:marTop w:val="0"/>
                      <w:marBottom w:val="0"/>
                      <w:divBdr>
                        <w:top w:val="none" w:sz="0" w:space="0" w:color="auto"/>
                        <w:left w:val="none" w:sz="0" w:space="0" w:color="auto"/>
                        <w:bottom w:val="none" w:sz="0" w:space="0" w:color="auto"/>
                        <w:right w:val="none" w:sz="0" w:space="0" w:color="auto"/>
                      </w:divBdr>
                      <w:divsChild>
                        <w:div w:id="11289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er@alaskan.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ibrary.ferc.gov/idmws/common/OpenNat.asp?fileID=1478856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lis.org/docs/vol1/AlaskaGas/Report/Report_FERC_1995_YukonPacificLNGProjectFina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rlis.org/docs/vol1/AlaskaGas/Paper/Paper_OFC_2014_ForgottenNikiskiLNG.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library.ferc.gov/idmws/common/opennat.asp?fileID=14794549"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DA25A-697A-42D0-9C62-C7A03643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1271</TotalTime>
  <Pages>6</Pages>
  <Words>2459</Words>
  <Characters>14020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Persily</dc:creator>
  <cp:keywords/>
  <dc:description/>
  <cp:lastModifiedBy>Ed M. Kazzimir</cp:lastModifiedBy>
  <cp:revision>2</cp:revision>
  <cp:lastPrinted>2018-01-15T04:29:00Z</cp:lastPrinted>
  <dcterms:created xsi:type="dcterms:W3CDTF">2018-01-02T23:40:00Z</dcterms:created>
  <dcterms:modified xsi:type="dcterms:W3CDTF">2018-01-16T18:50:00Z</dcterms:modified>
</cp:coreProperties>
</file>