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FE3CB" w14:textId="6A567B69" w:rsidR="00FC1FE4" w:rsidRPr="00B94743" w:rsidRDefault="00E542A7" w:rsidP="00A45888">
      <w:pPr>
        <w:spacing w:after="0"/>
        <w:rPr>
          <w:rFonts w:asciiTheme="minorHAnsi" w:hAnsiTheme="minorHAnsi" w:cstheme="minorHAnsi"/>
          <w:b/>
          <w:sz w:val="32"/>
          <w:szCs w:val="24"/>
        </w:rPr>
      </w:pPr>
      <w:r>
        <w:rPr>
          <w:rFonts w:asciiTheme="minorHAnsi" w:hAnsiTheme="minorHAnsi" w:cstheme="minorHAnsi"/>
          <w:b/>
          <w:sz w:val="32"/>
          <w:szCs w:val="24"/>
        </w:rPr>
        <w:t>FERC advises state it</w:t>
      </w:r>
      <w:r w:rsidR="00541EED">
        <w:rPr>
          <w:rFonts w:asciiTheme="minorHAnsi" w:hAnsiTheme="minorHAnsi" w:cstheme="minorHAnsi"/>
          <w:b/>
          <w:sz w:val="32"/>
          <w:szCs w:val="24"/>
        </w:rPr>
        <w:t xml:space="preserve"> i</w:t>
      </w:r>
      <w:r w:rsidR="005F4B9B">
        <w:rPr>
          <w:rFonts w:asciiTheme="minorHAnsi" w:hAnsiTheme="minorHAnsi" w:cstheme="minorHAnsi"/>
          <w:b/>
          <w:sz w:val="32"/>
          <w:szCs w:val="24"/>
        </w:rPr>
        <w:t xml:space="preserve">s falling short in providing </w:t>
      </w:r>
      <w:r w:rsidR="00541EED">
        <w:rPr>
          <w:rFonts w:asciiTheme="minorHAnsi" w:hAnsiTheme="minorHAnsi" w:cstheme="minorHAnsi"/>
          <w:b/>
          <w:sz w:val="32"/>
          <w:szCs w:val="24"/>
        </w:rPr>
        <w:t>information</w:t>
      </w:r>
      <w:r w:rsidR="005F4B9B">
        <w:rPr>
          <w:rFonts w:asciiTheme="minorHAnsi" w:hAnsiTheme="minorHAnsi" w:cstheme="minorHAnsi"/>
          <w:b/>
          <w:sz w:val="32"/>
          <w:szCs w:val="24"/>
        </w:rPr>
        <w:t xml:space="preserve"> for EIS</w:t>
      </w:r>
    </w:p>
    <w:p w14:paraId="3B92CCEC" w14:textId="77777777" w:rsidR="00C77E16" w:rsidRPr="001B29CB" w:rsidRDefault="00C77E16" w:rsidP="00A45888">
      <w:pPr>
        <w:spacing w:after="0"/>
        <w:rPr>
          <w:rFonts w:asciiTheme="minorHAnsi" w:hAnsiTheme="minorHAnsi" w:cstheme="minorHAnsi"/>
          <w:sz w:val="24"/>
          <w:szCs w:val="24"/>
        </w:rPr>
      </w:pPr>
    </w:p>
    <w:p w14:paraId="09CC3C0D" w14:textId="77777777" w:rsidR="00A331A8" w:rsidRPr="001B29CB" w:rsidRDefault="00A331A8" w:rsidP="00A45888">
      <w:pPr>
        <w:spacing w:after="0"/>
        <w:rPr>
          <w:rFonts w:asciiTheme="minorHAnsi" w:hAnsiTheme="minorHAnsi" w:cstheme="minorHAnsi"/>
          <w:sz w:val="24"/>
          <w:szCs w:val="24"/>
        </w:rPr>
      </w:pPr>
      <w:r w:rsidRPr="001B29CB">
        <w:rPr>
          <w:rFonts w:asciiTheme="minorHAnsi" w:hAnsiTheme="minorHAnsi" w:cstheme="minorHAnsi"/>
          <w:sz w:val="24"/>
          <w:szCs w:val="24"/>
        </w:rPr>
        <w:t xml:space="preserve">By Larry Persily </w:t>
      </w:r>
      <w:hyperlink r:id="rId8" w:history="1">
        <w:r w:rsidR="005067C8" w:rsidRPr="001B29CB">
          <w:rPr>
            <w:rStyle w:val="Hyperlink"/>
            <w:rFonts w:asciiTheme="minorHAnsi" w:hAnsiTheme="minorHAnsi" w:cstheme="minorHAnsi"/>
            <w:sz w:val="24"/>
            <w:szCs w:val="24"/>
          </w:rPr>
          <w:t>paper@alaskan.com</w:t>
        </w:r>
      </w:hyperlink>
    </w:p>
    <w:p w14:paraId="7B2868AE" w14:textId="77777777" w:rsidR="00A331A8" w:rsidRPr="001B29CB" w:rsidRDefault="00E542A7" w:rsidP="00A45888">
      <w:pPr>
        <w:spacing w:after="0"/>
        <w:rPr>
          <w:rFonts w:asciiTheme="minorHAnsi" w:hAnsiTheme="minorHAnsi" w:cstheme="minorHAnsi"/>
          <w:sz w:val="24"/>
          <w:szCs w:val="24"/>
        </w:rPr>
      </w:pPr>
      <w:r>
        <w:rPr>
          <w:rFonts w:asciiTheme="minorHAnsi" w:hAnsiTheme="minorHAnsi" w:cstheme="minorHAnsi"/>
          <w:sz w:val="24"/>
          <w:szCs w:val="24"/>
        </w:rPr>
        <w:t>Feb. 16</w:t>
      </w:r>
      <w:r w:rsidR="00A27528" w:rsidRPr="001B29CB">
        <w:rPr>
          <w:rFonts w:asciiTheme="minorHAnsi" w:hAnsiTheme="minorHAnsi" w:cstheme="minorHAnsi"/>
          <w:sz w:val="24"/>
          <w:szCs w:val="24"/>
        </w:rPr>
        <w:t>, 2018</w:t>
      </w:r>
    </w:p>
    <w:p w14:paraId="5844D09F" w14:textId="77777777" w:rsidR="00A331A8" w:rsidRPr="001B29CB" w:rsidRDefault="00A331A8" w:rsidP="00A45888">
      <w:pPr>
        <w:spacing w:after="0"/>
        <w:rPr>
          <w:rFonts w:asciiTheme="minorHAnsi" w:hAnsiTheme="minorHAnsi" w:cstheme="minorHAnsi"/>
          <w:sz w:val="24"/>
          <w:szCs w:val="24"/>
        </w:rPr>
      </w:pPr>
    </w:p>
    <w:p w14:paraId="630455E0" w14:textId="6A3960C6" w:rsidR="00893C45" w:rsidRDefault="00E542A7"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Federal regulators ha</w:t>
      </w:r>
      <w:r w:rsidR="009F4092">
        <w:rPr>
          <w:rFonts w:asciiTheme="minorHAnsi" w:eastAsiaTheme="minorEastAsia" w:hAnsiTheme="minorHAnsi" w:cstheme="minorHAnsi"/>
          <w:sz w:val="24"/>
          <w:szCs w:val="24"/>
        </w:rPr>
        <w:t>ve</w:t>
      </w:r>
      <w:r>
        <w:rPr>
          <w:rFonts w:asciiTheme="minorHAnsi" w:eastAsiaTheme="minorEastAsia" w:hAnsiTheme="minorHAnsi" w:cstheme="minorHAnsi"/>
          <w:sz w:val="24"/>
          <w:szCs w:val="24"/>
        </w:rPr>
        <w:t xml:space="preserve"> </w:t>
      </w:r>
      <w:r w:rsidR="00012CF5">
        <w:rPr>
          <w:rFonts w:asciiTheme="minorHAnsi" w:eastAsiaTheme="minorEastAsia" w:hAnsiTheme="minorHAnsi" w:cstheme="minorHAnsi"/>
          <w:sz w:val="24"/>
          <w:szCs w:val="24"/>
        </w:rPr>
        <w:t>told</w:t>
      </w:r>
      <w:r>
        <w:rPr>
          <w:rFonts w:asciiTheme="minorHAnsi" w:eastAsiaTheme="minorEastAsia" w:hAnsiTheme="minorHAnsi" w:cstheme="minorHAnsi"/>
          <w:sz w:val="24"/>
          <w:szCs w:val="24"/>
        </w:rPr>
        <w:t xml:space="preserve"> the Alaska Gasline Development Corp. (AGDC) that </w:t>
      </w:r>
      <w:r w:rsidR="00806190">
        <w:rPr>
          <w:rFonts w:asciiTheme="minorHAnsi" w:eastAsiaTheme="minorEastAsia" w:hAnsiTheme="minorHAnsi" w:cstheme="minorHAnsi"/>
          <w:sz w:val="24"/>
          <w:szCs w:val="24"/>
        </w:rPr>
        <w:t>the state agency</w:t>
      </w:r>
      <w:r w:rsidR="00893C45">
        <w:rPr>
          <w:rFonts w:asciiTheme="minorHAnsi" w:eastAsiaTheme="minorEastAsia" w:hAnsiTheme="minorHAnsi" w:cstheme="minorHAnsi"/>
          <w:sz w:val="24"/>
          <w:szCs w:val="24"/>
        </w:rPr>
        <w:t xml:space="preserve"> is falling short </w:t>
      </w:r>
      <w:r w:rsidR="000E388B">
        <w:rPr>
          <w:rFonts w:asciiTheme="minorHAnsi" w:eastAsiaTheme="minorEastAsia" w:hAnsiTheme="minorHAnsi" w:cstheme="minorHAnsi"/>
          <w:sz w:val="24"/>
          <w:szCs w:val="24"/>
        </w:rPr>
        <w:t>in</w:t>
      </w:r>
      <w:r w:rsidR="00893C45">
        <w:rPr>
          <w:rFonts w:asciiTheme="minorHAnsi" w:eastAsiaTheme="minorEastAsia" w:hAnsiTheme="minorHAnsi" w:cstheme="minorHAnsi"/>
          <w:sz w:val="24"/>
          <w:szCs w:val="24"/>
        </w:rPr>
        <w:t xml:space="preserve"> providing </w:t>
      </w:r>
      <w:r w:rsidR="00A45888">
        <w:rPr>
          <w:rFonts w:asciiTheme="minorHAnsi" w:eastAsiaTheme="minorEastAsia" w:hAnsiTheme="minorHAnsi" w:cstheme="minorHAnsi"/>
          <w:sz w:val="24"/>
          <w:szCs w:val="24"/>
        </w:rPr>
        <w:t xml:space="preserve">all </w:t>
      </w:r>
      <w:r w:rsidR="00893C45">
        <w:rPr>
          <w:rFonts w:asciiTheme="minorHAnsi" w:eastAsiaTheme="minorEastAsia" w:hAnsiTheme="minorHAnsi" w:cstheme="minorHAnsi"/>
          <w:sz w:val="24"/>
          <w:szCs w:val="24"/>
        </w:rPr>
        <w:t>the information</w:t>
      </w:r>
      <w:r w:rsidR="00646C06">
        <w:rPr>
          <w:rFonts w:asciiTheme="minorHAnsi" w:eastAsiaTheme="minorEastAsia" w:hAnsiTheme="minorHAnsi" w:cstheme="minorHAnsi"/>
          <w:sz w:val="24"/>
          <w:szCs w:val="24"/>
        </w:rPr>
        <w:t>,</w:t>
      </w:r>
      <w:r w:rsidR="00893C45">
        <w:rPr>
          <w:rFonts w:asciiTheme="minorHAnsi" w:eastAsiaTheme="minorEastAsia" w:hAnsiTheme="minorHAnsi" w:cstheme="minorHAnsi"/>
          <w:sz w:val="24"/>
          <w:szCs w:val="24"/>
        </w:rPr>
        <w:t xml:space="preserve"> </w:t>
      </w:r>
      <w:r w:rsidR="006939B1">
        <w:rPr>
          <w:rFonts w:asciiTheme="minorHAnsi" w:eastAsiaTheme="minorEastAsia" w:hAnsiTheme="minorHAnsi" w:cstheme="minorHAnsi"/>
          <w:sz w:val="24"/>
          <w:szCs w:val="24"/>
        </w:rPr>
        <w:t xml:space="preserve">construction </w:t>
      </w:r>
      <w:r w:rsidR="00646C06">
        <w:rPr>
          <w:rFonts w:asciiTheme="minorHAnsi" w:eastAsiaTheme="minorEastAsia" w:hAnsiTheme="minorHAnsi" w:cstheme="minorHAnsi"/>
          <w:sz w:val="24"/>
          <w:szCs w:val="24"/>
        </w:rPr>
        <w:t xml:space="preserve">and operation </w:t>
      </w:r>
      <w:r w:rsidR="00893C45">
        <w:rPr>
          <w:rFonts w:asciiTheme="minorHAnsi" w:eastAsiaTheme="minorEastAsia" w:hAnsiTheme="minorHAnsi" w:cstheme="minorHAnsi"/>
          <w:sz w:val="24"/>
          <w:szCs w:val="24"/>
        </w:rPr>
        <w:t>plans needed to prepare an environmental impact statement for the</w:t>
      </w:r>
      <w:r>
        <w:rPr>
          <w:rFonts w:asciiTheme="minorHAnsi" w:eastAsiaTheme="minorEastAsia" w:hAnsiTheme="minorHAnsi" w:cstheme="minorHAnsi"/>
          <w:sz w:val="24"/>
          <w:szCs w:val="24"/>
        </w:rPr>
        <w:t xml:space="preserve"> proposed Alaska LNG project</w:t>
      </w:r>
      <w:r w:rsidR="00893C45">
        <w:rPr>
          <w:rFonts w:asciiTheme="minorHAnsi" w:eastAsiaTheme="minorEastAsia" w:hAnsiTheme="minorHAnsi" w:cstheme="minorHAnsi"/>
          <w:sz w:val="24"/>
          <w:szCs w:val="24"/>
        </w:rPr>
        <w:t xml:space="preserve">. </w:t>
      </w:r>
      <w:r w:rsidR="00431397">
        <w:rPr>
          <w:rFonts w:asciiTheme="minorHAnsi" w:eastAsiaTheme="minorEastAsia" w:hAnsiTheme="minorHAnsi" w:cstheme="minorHAnsi"/>
          <w:sz w:val="24"/>
          <w:szCs w:val="24"/>
        </w:rPr>
        <w:t xml:space="preserve"> </w:t>
      </w:r>
      <w:r w:rsidR="00893C45">
        <w:rPr>
          <w:rFonts w:asciiTheme="minorHAnsi" w:eastAsiaTheme="minorEastAsia" w:hAnsiTheme="minorHAnsi" w:cstheme="minorHAnsi"/>
          <w:sz w:val="24"/>
          <w:szCs w:val="24"/>
        </w:rPr>
        <w:t>“Incomplete responses and the reissuances of requests for information will affect the schedule for completing the environmental review,” t</w:t>
      </w:r>
      <w:r>
        <w:rPr>
          <w:rFonts w:asciiTheme="minorHAnsi" w:eastAsiaTheme="minorEastAsia" w:hAnsiTheme="minorHAnsi" w:cstheme="minorHAnsi"/>
          <w:sz w:val="24"/>
          <w:szCs w:val="24"/>
        </w:rPr>
        <w:t>he Federal Energy Regulatory Commission (FERC)</w:t>
      </w:r>
      <w:r w:rsidR="00893C45">
        <w:rPr>
          <w:rFonts w:asciiTheme="minorHAnsi" w:eastAsiaTheme="minorEastAsia" w:hAnsiTheme="minorHAnsi" w:cstheme="minorHAnsi"/>
          <w:sz w:val="24"/>
          <w:szCs w:val="24"/>
        </w:rPr>
        <w:t xml:space="preserve"> said in </w:t>
      </w:r>
      <w:r w:rsidR="00A45888">
        <w:rPr>
          <w:rFonts w:asciiTheme="minorHAnsi" w:eastAsiaTheme="minorEastAsia" w:hAnsiTheme="minorHAnsi" w:cstheme="minorHAnsi"/>
          <w:sz w:val="24"/>
          <w:szCs w:val="24"/>
        </w:rPr>
        <w:t>its</w:t>
      </w:r>
      <w:r>
        <w:rPr>
          <w:rFonts w:asciiTheme="minorHAnsi" w:eastAsiaTheme="minorEastAsia" w:hAnsiTheme="minorHAnsi" w:cstheme="minorHAnsi"/>
          <w:sz w:val="24"/>
          <w:szCs w:val="24"/>
        </w:rPr>
        <w:t xml:space="preserve"> </w:t>
      </w:r>
      <w:hyperlink r:id="rId9" w:history="1">
        <w:r w:rsidRPr="003655A1">
          <w:rPr>
            <w:rStyle w:val="Hyperlink"/>
            <w:rFonts w:asciiTheme="minorHAnsi" w:eastAsiaTheme="minorEastAsia" w:hAnsiTheme="minorHAnsi" w:cstheme="minorHAnsi"/>
            <w:b/>
            <w:sz w:val="24"/>
            <w:szCs w:val="24"/>
          </w:rPr>
          <w:t>Feb. 15 letter</w:t>
        </w:r>
      </w:hyperlink>
      <w:r>
        <w:rPr>
          <w:rFonts w:asciiTheme="minorHAnsi" w:eastAsiaTheme="minorEastAsia" w:hAnsiTheme="minorHAnsi" w:cstheme="minorHAnsi"/>
          <w:sz w:val="24"/>
          <w:szCs w:val="24"/>
        </w:rPr>
        <w:t xml:space="preserve"> to AGDC</w:t>
      </w:r>
      <w:r w:rsidR="00893C45">
        <w:rPr>
          <w:rFonts w:asciiTheme="minorHAnsi" w:eastAsiaTheme="minorEastAsia" w:hAnsiTheme="minorHAnsi" w:cstheme="minorHAnsi"/>
          <w:sz w:val="24"/>
          <w:szCs w:val="24"/>
        </w:rPr>
        <w:t>.</w:t>
      </w:r>
    </w:p>
    <w:p w14:paraId="385F64B7" w14:textId="77777777" w:rsidR="00893C45" w:rsidRDefault="00893C45" w:rsidP="00A45888">
      <w:pPr>
        <w:spacing w:after="0"/>
        <w:rPr>
          <w:rFonts w:asciiTheme="minorHAnsi" w:eastAsiaTheme="minorEastAsia" w:hAnsiTheme="minorHAnsi" w:cstheme="minorHAnsi"/>
          <w:sz w:val="24"/>
          <w:szCs w:val="24"/>
        </w:rPr>
      </w:pPr>
    </w:p>
    <w:p w14:paraId="3EA7A15D" w14:textId="1E1A23C2" w:rsidR="000E388B" w:rsidRDefault="00143D46"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“To date, only minimal drafts, and in most cases just outlines, of these plans have been provided</w:t>
      </w:r>
      <w:r w:rsidR="00541EED">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and/or the development of the plans have been deferred to a later date,” FERC said, referring to </w:t>
      </w:r>
      <w:r w:rsidR="00646C06">
        <w:rPr>
          <w:rFonts w:asciiTheme="minorHAnsi" w:eastAsiaTheme="minorEastAsia" w:hAnsiTheme="minorHAnsi" w:cstheme="minorHAnsi"/>
          <w:sz w:val="24"/>
          <w:szCs w:val="24"/>
        </w:rPr>
        <w:t xml:space="preserve">its past requests of AGDC for </w:t>
      </w:r>
      <w:r>
        <w:rPr>
          <w:rFonts w:asciiTheme="minorHAnsi" w:eastAsiaTheme="minorEastAsia" w:hAnsiTheme="minorHAnsi" w:cstheme="minorHAnsi"/>
          <w:sz w:val="24"/>
          <w:szCs w:val="24"/>
        </w:rPr>
        <w:t xml:space="preserve">proposed mitigation </w:t>
      </w:r>
      <w:r w:rsidR="000E388B">
        <w:rPr>
          <w:rFonts w:asciiTheme="minorHAnsi" w:eastAsiaTheme="minorEastAsia" w:hAnsiTheme="minorHAnsi" w:cstheme="minorHAnsi"/>
          <w:sz w:val="24"/>
          <w:szCs w:val="24"/>
        </w:rPr>
        <w:t xml:space="preserve">plans for </w:t>
      </w:r>
      <w:r>
        <w:rPr>
          <w:rFonts w:asciiTheme="minorHAnsi" w:eastAsiaTheme="minorEastAsia" w:hAnsiTheme="minorHAnsi" w:cstheme="minorHAnsi"/>
          <w:sz w:val="24"/>
          <w:szCs w:val="24"/>
        </w:rPr>
        <w:t>wildlife avoidance</w:t>
      </w:r>
      <w:r w:rsidR="000E388B">
        <w:rPr>
          <w:rFonts w:asciiTheme="minorHAnsi" w:eastAsiaTheme="minorEastAsia" w:hAnsiTheme="minorHAnsi" w:cstheme="minorHAnsi"/>
          <w:sz w:val="24"/>
          <w:szCs w:val="24"/>
        </w:rPr>
        <w:t>, marine mammal monitoring, vegetation and soils restoration, groundwater monitoring, and invasive plants.</w:t>
      </w:r>
    </w:p>
    <w:p w14:paraId="3FE6414E" w14:textId="77777777" w:rsidR="000E388B" w:rsidRDefault="000E388B" w:rsidP="00A45888">
      <w:pPr>
        <w:shd w:val="clear" w:color="auto" w:fill="FFFFFF"/>
        <w:spacing w:after="0"/>
        <w:rPr>
          <w:rFonts w:asciiTheme="minorHAnsi" w:eastAsiaTheme="minorEastAsia" w:hAnsiTheme="minorHAnsi" w:cstheme="minorHAnsi"/>
          <w:sz w:val="24"/>
          <w:szCs w:val="24"/>
        </w:rPr>
      </w:pPr>
    </w:p>
    <w:p w14:paraId="5641E63D" w14:textId="45581FA8" w:rsidR="00541EED" w:rsidRDefault="00541EED" w:rsidP="00541EED">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“Rather than providing specific avoidance and mitigation measures to be adopted … AGDC has deferred providing information to future plans or the permitting phase,” FERC said.</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“It is imperative that the information provided in AGDC’s responses include definitive commitments to implement specific avoidance, minimization and mitigation measures.</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Incomplete information or ill-defined commitments by AGDC may compromise our ability to adequately assess and disclose the full impact of the project.”</w:t>
      </w:r>
      <w:bookmarkStart w:id="0" w:name="_GoBack"/>
      <w:bookmarkEnd w:id="0"/>
    </w:p>
    <w:p w14:paraId="392A9584" w14:textId="77777777" w:rsidR="00541EED" w:rsidRDefault="00541EED" w:rsidP="00541EED">
      <w:pPr>
        <w:spacing w:after="0"/>
        <w:rPr>
          <w:rFonts w:asciiTheme="minorHAnsi" w:eastAsiaTheme="minorEastAsia" w:hAnsiTheme="minorHAnsi" w:cstheme="minorHAnsi"/>
          <w:sz w:val="24"/>
          <w:szCs w:val="24"/>
        </w:rPr>
      </w:pPr>
    </w:p>
    <w:p w14:paraId="7F6422FA" w14:textId="2FC22026" w:rsidR="000E388B" w:rsidRDefault="000E388B"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For example, AGDC reported to FERC in December that it would develop plans to reduce the project’s </w:t>
      </w:r>
      <w:r w:rsidR="00CC1BA7">
        <w:rPr>
          <w:rFonts w:asciiTheme="minorHAnsi" w:eastAsiaTheme="minorEastAsia" w:hAnsiTheme="minorHAnsi" w:cstheme="minorHAnsi"/>
          <w:sz w:val="24"/>
          <w:szCs w:val="24"/>
        </w:rPr>
        <w:t>impacts</w:t>
      </w:r>
      <w:r>
        <w:rPr>
          <w:rFonts w:asciiTheme="minorHAnsi" w:eastAsiaTheme="minorEastAsia" w:hAnsiTheme="minorHAnsi" w:cstheme="minorHAnsi"/>
          <w:sz w:val="24"/>
          <w:szCs w:val="24"/>
        </w:rPr>
        <w:t xml:space="preserve"> on public land and recreational activities after the final environmental impact statement</w:t>
      </w:r>
      <w:r w:rsidR="00CC1BA7">
        <w:rPr>
          <w:rFonts w:asciiTheme="minorHAnsi" w:eastAsiaTheme="minorEastAsia" w:hAnsiTheme="minorHAnsi" w:cstheme="minorHAnsi"/>
          <w:sz w:val="24"/>
          <w:szCs w:val="24"/>
        </w:rPr>
        <w:t xml:space="preserve"> (EIS)</w:t>
      </w:r>
      <w:r w:rsidR="00646C06">
        <w:rPr>
          <w:rFonts w:asciiTheme="minorHAnsi" w:eastAsiaTheme="minorEastAsia" w:hAnsiTheme="minorHAnsi" w:cstheme="minorHAnsi"/>
          <w:sz w:val="24"/>
          <w:szCs w:val="24"/>
        </w:rPr>
        <w:t>,</w:t>
      </w:r>
      <w:r w:rsidR="00541EED">
        <w:rPr>
          <w:rFonts w:asciiTheme="minorHAnsi" w:eastAsiaTheme="minorEastAsia" w:hAnsiTheme="minorHAnsi" w:cstheme="minorHAnsi"/>
          <w:sz w:val="24"/>
          <w:szCs w:val="24"/>
        </w:rPr>
        <w:t xml:space="preserve"> though</w:t>
      </w:r>
      <w:r>
        <w:rPr>
          <w:rFonts w:asciiTheme="minorHAnsi" w:eastAsiaTheme="minorEastAsia" w:hAnsiTheme="minorHAnsi" w:cstheme="minorHAnsi"/>
          <w:sz w:val="24"/>
          <w:szCs w:val="24"/>
        </w:rPr>
        <w:t xml:space="preserve"> before construction starts.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“However,” FERC said Feb. 15, the agency “needs site-specific information on the construction and operation of the proposed facilities in these areas, as well as measures to reduce impacts” before it can prepare the draft EIS — not after the final EIS.</w:t>
      </w:r>
    </w:p>
    <w:p w14:paraId="3F9EC243" w14:textId="77777777" w:rsidR="00143D46" w:rsidRDefault="00143D46" w:rsidP="00A45888">
      <w:pPr>
        <w:shd w:val="clear" w:color="auto" w:fill="FFFFFF"/>
        <w:spacing w:after="0"/>
        <w:rPr>
          <w:rFonts w:asciiTheme="minorHAnsi" w:eastAsiaTheme="minorEastAsia" w:hAnsiTheme="minorHAnsi" w:cstheme="minorHAnsi"/>
          <w:sz w:val="24"/>
          <w:szCs w:val="24"/>
        </w:rPr>
      </w:pPr>
    </w:p>
    <w:p w14:paraId="54FA086E" w14:textId="77777777" w:rsidR="00CC1BA7" w:rsidRPr="00CC1BA7" w:rsidRDefault="00CC1BA7" w:rsidP="00A45888">
      <w:pPr>
        <w:shd w:val="clear" w:color="auto" w:fill="FFFFFF"/>
        <w:spacing w:after="0"/>
        <w:rPr>
          <w:rFonts w:asciiTheme="minorHAnsi" w:eastAsiaTheme="minorEastAsia" w:hAnsiTheme="minorHAnsi" w:cstheme="minorHAnsi"/>
          <w:b/>
          <w:sz w:val="24"/>
          <w:szCs w:val="24"/>
        </w:rPr>
      </w:pPr>
      <w:r w:rsidRPr="00CC1BA7">
        <w:rPr>
          <w:rFonts w:asciiTheme="minorHAnsi" w:eastAsiaTheme="minorEastAsia" w:hAnsiTheme="minorHAnsi" w:cstheme="minorHAnsi"/>
          <w:b/>
          <w:sz w:val="24"/>
          <w:szCs w:val="24"/>
        </w:rPr>
        <w:t>STATE WAITING FOR EIS SCHEDULE</w:t>
      </w:r>
    </w:p>
    <w:p w14:paraId="3F679455" w14:textId="77777777" w:rsidR="00CC1BA7" w:rsidRDefault="00CC1BA7" w:rsidP="00A45888">
      <w:pPr>
        <w:shd w:val="clear" w:color="auto" w:fill="FFFFFF"/>
        <w:spacing w:after="0"/>
        <w:rPr>
          <w:rFonts w:asciiTheme="minorHAnsi" w:eastAsiaTheme="minorEastAsia" w:hAnsiTheme="minorHAnsi" w:cstheme="minorHAnsi"/>
          <w:sz w:val="24"/>
          <w:szCs w:val="24"/>
        </w:rPr>
      </w:pPr>
    </w:p>
    <w:p w14:paraId="488F5E7A" w14:textId="3D6073EB" w:rsidR="00A45888" w:rsidRDefault="00A45888"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Since last summer, AGDC has been working to respond to more than 800 requests from FERC for additional information needed to prepare the environmental review of the state-led $43 billion North Slope natural gas pipeline and liquefaction project.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The state answered the last of those questions in January and had been hoping FERC would decide it had enough information to set a schedule for the EIS process.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The regulator</w:t>
      </w:r>
      <w:r w:rsidR="00B62D1E">
        <w:rPr>
          <w:rFonts w:asciiTheme="minorHAnsi" w:eastAsiaTheme="minorEastAsia" w:hAnsiTheme="minorHAnsi" w:cstheme="minorHAnsi"/>
          <w:sz w:val="24"/>
          <w:szCs w:val="24"/>
        </w:rPr>
        <w:t>y agency</w:t>
      </w:r>
      <w:r>
        <w:rPr>
          <w:rFonts w:asciiTheme="minorHAnsi" w:eastAsiaTheme="minorEastAsia" w:hAnsiTheme="minorHAnsi" w:cstheme="minorHAnsi"/>
          <w:sz w:val="24"/>
          <w:szCs w:val="24"/>
        </w:rPr>
        <w:t xml:space="preserve"> will not publish an environmental review schedule until it is confident it has enough project details to set an EIS timeline that it can keep.</w:t>
      </w:r>
    </w:p>
    <w:p w14:paraId="3F285BDE" w14:textId="77777777" w:rsidR="00A45888" w:rsidRDefault="00A45888" w:rsidP="00A45888">
      <w:pPr>
        <w:shd w:val="clear" w:color="auto" w:fill="FFFFFF"/>
        <w:spacing w:after="0"/>
        <w:rPr>
          <w:rFonts w:asciiTheme="minorHAnsi" w:eastAsiaTheme="minorEastAsia" w:hAnsiTheme="minorHAnsi" w:cstheme="minorHAnsi"/>
          <w:sz w:val="24"/>
          <w:szCs w:val="24"/>
        </w:rPr>
      </w:pPr>
    </w:p>
    <w:p w14:paraId="0A591C8F" w14:textId="1F45B7BB" w:rsidR="00B62D1E" w:rsidRDefault="00A45888"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lastRenderedPageBreak/>
        <w:t xml:space="preserve">Ever since it filed its application with FERC last April, the state has been pushing </w:t>
      </w:r>
      <w:r w:rsidR="003B7962">
        <w:rPr>
          <w:rFonts w:asciiTheme="minorHAnsi" w:eastAsiaTheme="minorEastAsia" w:hAnsiTheme="minorHAnsi" w:cstheme="minorHAnsi"/>
          <w:sz w:val="24"/>
          <w:szCs w:val="24"/>
        </w:rPr>
        <w:t>for</w:t>
      </w:r>
      <w:r>
        <w:rPr>
          <w:rFonts w:asciiTheme="minorHAnsi" w:eastAsiaTheme="minorEastAsia" w:hAnsiTheme="minorHAnsi" w:cstheme="minorHAnsi"/>
          <w:sz w:val="24"/>
          <w:szCs w:val="24"/>
        </w:rPr>
        <w:t xml:space="preserve"> </w:t>
      </w:r>
      <w:r w:rsidR="00646C06">
        <w:rPr>
          <w:rFonts w:asciiTheme="minorHAnsi" w:eastAsiaTheme="minorEastAsia" w:hAnsiTheme="minorHAnsi" w:cstheme="minorHAnsi"/>
          <w:sz w:val="24"/>
          <w:szCs w:val="24"/>
        </w:rPr>
        <w:t>the regulatory agency</w:t>
      </w:r>
      <w:r>
        <w:rPr>
          <w:rFonts w:asciiTheme="minorHAnsi" w:eastAsiaTheme="minorEastAsia" w:hAnsiTheme="minorHAnsi" w:cstheme="minorHAnsi"/>
          <w:sz w:val="24"/>
          <w:szCs w:val="24"/>
        </w:rPr>
        <w:t xml:space="preserve"> </w:t>
      </w:r>
      <w:r w:rsidR="003B7962">
        <w:rPr>
          <w:rFonts w:asciiTheme="minorHAnsi" w:eastAsiaTheme="minorEastAsia" w:hAnsiTheme="minorHAnsi" w:cstheme="minorHAnsi"/>
          <w:sz w:val="24"/>
          <w:szCs w:val="24"/>
        </w:rPr>
        <w:t>to</w:t>
      </w:r>
      <w:r>
        <w:rPr>
          <w:rFonts w:asciiTheme="minorHAnsi" w:eastAsiaTheme="minorEastAsia" w:hAnsiTheme="minorHAnsi" w:cstheme="minorHAnsi"/>
          <w:sz w:val="24"/>
          <w:szCs w:val="24"/>
        </w:rPr>
        <w:t xml:space="preserve"> commit to </w:t>
      </w:r>
      <w:r w:rsidR="003B7962">
        <w:rPr>
          <w:rFonts w:asciiTheme="minorHAnsi" w:eastAsiaTheme="minorEastAsia" w:hAnsiTheme="minorHAnsi" w:cstheme="minorHAnsi"/>
          <w:sz w:val="24"/>
          <w:szCs w:val="24"/>
        </w:rPr>
        <w:t>completing the</w:t>
      </w:r>
      <w:r>
        <w:rPr>
          <w:rFonts w:asciiTheme="minorHAnsi" w:eastAsiaTheme="minorEastAsia" w:hAnsiTheme="minorHAnsi" w:cstheme="minorHAnsi"/>
          <w:sz w:val="24"/>
          <w:szCs w:val="24"/>
        </w:rPr>
        <w:t xml:space="preserve"> final EIS by Dec. 31, 2018.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FERC’s Feb. 15 letter </w:t>
      </w:r>
      <w:r w:rsidR="00ED2702">
        <w:rPr>
          <w:rFonts w:asciiTheme="minorHAnsi" w:eastAsiaTheme="minorEastAsia" w:hAnsiTheme="minorHAnsi" w:cstheme="minorHAnsi"/>
          <w:sz w:val="24"/>
          <w:szCs w:val="24"/>
        </w:rPr>
        <w:t xml:space="preserve">does not specifically address the state’s hope that regulators complete their review </w:t>
      </w:r>
      <w:r w:rsidR="003B7962">
        <w:rPr>
          <w:rFonts w:asciiTheme="minorHAnsi" w:eastAsiaTheme="minorEastAsia" w:hAnsiTheme="minorHAnsi" w:cstheme="minorHAnsi"/>
          <w:sz w:val="24"/>
          <w:szCs w:val="24"/>
        </w:rPr>
        <w:t xml:space="preserve">by the end of </w:t>
      </w:r>
      <w:r w:rsidR="00ED2702">
        <w:rPr>
          <w:rFonts w:asciiTheme="minorHAnsi" w:eastAsiaTheme="minorEastAsia" w:hAnsiTheme="minorHAnsi" w:cstheme="minorHAnsi"/>
          <w:sz w:val="24"/>
          <w:szCs w:val="24"/>
        </w:rPr>
        <w:t>this year.</w:t>
      </w:r>
      <w:r w:rsidR="00431397">
        <w:rPr>
          <w:rFonts w:asciiTheme="minorHAnsi" w:eastAsiaTheme="minorEastAsia" w:hAnsiTheme="minorHAnsi" w:cstheme="minorHAnsi"/>
          <w:sz w:val="24"/>
          <w:szCs w:val="24"/>
        </w:rPr>
        <w:t xml:space="preserve"> </w:t>
      </w:r>
      <w:r w:rsidR="00B62D1E">
        <w:rPr>
          <w:rFonts w:asciiTheme="minorHAnsi" w:eastAsiaTheme="minorEastAsia" w:hAnsiTheme="minorHAnsi" w:cstheme="minorHAnsi"/>
          <w:sz w:val="24"/>
          <w:szCs w:val="24"/>
        </w:rPr>
        <w:t xml:space="preserve"> But it does present 171 pages of instructions, requests for information and follow-up questions to data gaps raised in previous letters to the state.</w:t>
      </w:r>
      <w:r w:rsidR="00541EED">
        <w:rPr>
          <w:rFonts w:asciiTheme="minorHAnsi" w:eastAsiaTheme="minorEastAsia" w:hAnsiTheme="minorHAnsi" w:cstheme="minorHAnsi"/>
          <w:sz w:val="24"/>
          <w:szCs w:val="24"/>
        </w:rPr>
        <w:t xml:space="preserve"> </w:t>
      </w:r>
      <w:r w:rsidR="00431397">
        <w:rPr>
          <w:rFonts w:asciiTheme="minorHAnsi" w:eastAsiaTheme="minorEastAsia" w:hAnsiTheme="minorHAnsi" w:cstheme="minorHAnsi"/>
          <w:sz w:val="24"/>
          <w:szCs w:val="24"/>
        </w:rPr>
        <w:t xml:space="preserve"> </w:t>
      </w:r>
      <w:r w:rsidR="00541EED">
        <w:rPr>
          <w:rFonts w:asciiTheme="minorHAnsi" w:eastAsiaTheme="minorEastAsia" w:hAnsiTheme="minorHAnsi" w:cstheme="minorHAnsi"/>
          <w:sz w:val="24"/>
          <w:szCs w:val="24"/>
        </w:rPr>
        <w:t>The letter lists 288 multi-part requests for more information.</w:t>
      </w:r>
    </w:p>
    <w:p w14:paraId="17A94350" w14:textId="77777777" w:rsidR="00B62D1E" w:rsidRDefault="00B62D1E" w:rsidP="00A45888">
      <w:pPr>
        <w:shd w:val="clear" w:color="auto" w:fill="FFFFFF"/>
        <w:spacing w:after="0"/>
        <w:rPr>
          <w:rFonts w:asciiTheme="minorHAnsi" w:eastAsiaTheme="minorEastAsia" w:hAnsiTheme="minorHAnsi" w:cstheme="minorHAnsi"/>
          <w:sz w:val="24"/>
          <w:szCs w:val="24"/>
        </w:rPr>
      </w:pPr>
    </w:p>
    <w:p w14:paraId="538811BA" w14:textId="77777777" w:rsidR="00A45888" w:rsidRDefault="00B62D1E"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“This enclosure,” FERC said in the cover letter to its Feb. 15 filing, “includes several requests for information that have been made multiple times during the pre-filing phase, as well as in the current application review, for which an adequate response has not yet been received.”</w:t>
      </w:r>
    </w:p>
    <w:p w14:paraId="261CF938" w14:textId="77777777" w:rsidR="00B62D1E" w:rsidRDefault="00B62D1E" w:rsidP="00A45888">
      <w:pPr>
        <w:shd w:val="clear" w:color="auto" w:fill="FFFFFF"/>
        <w:spacing w:after="0"/>
        <w:rPr>
          <w:rFonts w:asciiTheme="minorHAnsi" w:eastAsiaTheme="minorEastAsia" w:hAnsiTheme="minorHAnsi" w:cstheme="minorHAnsi"/>
          <w:sz w:val="24"/>
          <w:szCs w:val="24"/>
        </w:rPr>
      </w:pPr>
    </w:p>
    <w:p w14:paraId="40919B5B" w14:textId="50A642A5" w:rsidR="00B62D1E" w:rsidRDefault="00B62D1E" w:rsidP="00B62D1E">
      <w:pPr>
        <w:shd w:val="clear" w:color="auto" w:fill="FFFFFF"/>
        <w:spacing w:after="0"/>
        <w:rPr>
          <w:rFonts w:asciiTheme="minorHAnsi" w:eastAsia="Times New Roman" w:hAnsiTheme="minorHAnsi" w:cstheme="minorHAnsi"/>
          <w:sz w:val="24"/>
          <w:szCs w:val="24"/>
        </w:rPr>
      </w:pPr>
      <w:r>
        <w:rPr>
          <w:rFonts w:asciiTheme="minorHAnsi" w:eastAsiaTheme="minorEastAsia" w:hAnsiTheme="minorHAnsi" w:cstheme="minorHAnsi"/>
          <w:sz w:val="24"/>
          <w:szCs w:val="24"/>
        </w:rPr>
        <w:t xml:space="preserve">The state corporation </w:t>
      </w:r>
      <w:r w:rsidR="00646C06">
        <w:rPr>
          <w:rFonts w:asciiTheme="minorHAnsi" w:eastAsiaTheme="minorEastAsia" w:hAnsiTheme="minorHAnsi" w:cstheme="minorHAnsi"/>
          <w:sz w:val="24"/>
          <w:szCs w:val="24"/>
        </w:rPr>
        <w:t xml:space="preserve">went ahead with </w:t>
      </w:r>
      <w:r w:rsidRPr="006939B1">
        <w:rPr>
          <w:rFonts w:asciiTheme="minorHAnsi" w:eastAsiaTheme="minorEastAsia" w:hAnsiTheme="minorHAnsi" w:cstheme="minorHAnsi"/>
          <w:sz w:val="24"/>
          <w:szCs w:val="24"/>
        </w:rPr>
        <w:t xml:space="preserve">its project application </w:t>
      </w:r>
      <w:r w:rsidR="003B7962">
        <w:rPr>
          <w:rFonts w:asciiTheme="minorHAnsi" w:eastAsiaTheme="minorEastAsia" w:hAnsiTheme="minorHAnsi" w:cstheme="minorHAnsi"/>
          <w:sz w:val="24"/>
          <w:szCs w:val="24"/>
        </w:rPr>
        <w:t>in April 2017</w:t>
      </w:r>
      <w:r w:rsidRPr="006939B1">
        <w:rPr>
          <w:rFonts w:asciiTheme="minorHAnsi" w:eastAsiaTheme="minorEastAsia" w:hAnsiTheme="minorHAnsi" w:cstheme="minorHAnsi"/>
          <w:sz w:val="24"/>
          <w:szCs w:val="24"/>
        </w:rPr>
        <w:t xml:space="preserve">, even though federal regulators just two weeks earlier </w:t>
      </w:r>
      <w:r w:rsidR="003B7962">
        <w:rPr>
          <w:rFonts w:asciiTheme="minorHAnsi" w:eastAsiaTheme="minorEastAsia" w:hAnsiTheme="minorHAnsi" w:cstheme="minorHAnsi"/>
          <w:sz w:val="24"/>
          <w:szCs w:val="24"/>
        </w:rPr>
        <w:t xml:space="preserve">had </w:t>
      </w:r>
      <w:r w:rsidRPr="006939B1">
        <w:rPr>
          <w:rFonts w:asciiTheme="minorHAnsi" w:eastAsiaTheme="minorEastAsia" w:hAnsiTheme="minorHAnsi" w:cstheme="minorHAnsi"/>
          <w:sz w:val="24"/>
          <w:szCs w:val="24"/>
        </w:rPr>
        <w:t>cautioned AGDC to stay in pre-file status “due to the number of questions lingering.”</w:t>
      </w:r>
      <w:r w:rsidRPr="006939B1">
        <w:rPr>
          <w:rFonts w:asciiTheme="minorHAnsi" w:eastAsia="Times New Roman" w:hAnsiTheme="minorHAnsi" w:cstheme="minorHAnsi"/>
          <w:sz w:val="24"/>
          <w:szCs w:val="24"/>
        </w:rPr>
        <w:t xml:space="preserve"> </w:t>
      </w:r>
      <w:r w:rsidR="00431397">
        <w:rPr>
          <w:rFonts w:asciiTheme="minorHAnsi" w:eastAsia="Times New Roman" w:hAnsiTheme="minorHAnsi" w:cstheme="minorHAnsi"/>
          <w:sz w:val="24"/>
          <w:szCs w:val="24"/>
        </w:rPr>
        <w:t xml:space="preserve"> </w:t>
      </w:r>
      <w:r w:rsidR="003B7962">
        <w:rPr>
          <w:rFonts w:asciiTheme="minorHAnsi" w:eastAsia="Times New Roman" w:hAnsiTheme="minorHAnsi" w:cstheme="minorHAnsi"/>
          <w:sz w:val="24"/>
          <w:szCs w:val="24"/>
        </w:rPr>
        <w:t xml:space="preserve">A month before that, </w:t>
      </w:r>
      <w:r w:rsidRPr="006939B1">
        <w:rPr>
          <w:rFonts w:asciiTheme="minorHAnsi" w:eastAsia="Times New Roman" w:hAnsiTheme="minorHAnsi" w:cstheme="minorHAnsi"/>
          <w:sz w:val="24"/>
          <w:szCs w:val="24"/>
        </w:rPr>
        <w:t xml:space="preserve">FERC provided similar advice: </w:t>
      </w:r>
      <w:r>
        <w:rPr>
          <w:rFonts w:asciiTheme="minorHAnsi" w:eastAsia="Times New Roman" w:hAnsiTheme="minorHAnsi" w:cstheme="minorHAnsi"/>
          <w:sz w:val="24"/>
          <w:szCs w:val="24"/>
        </w:rPr>
        <w:t>“S</w:t>
      </w:r>
      <w:r w:rsidRPr="00893C45">
        <w:rPr>
          <w:rFonts w:asciiTheme="minorHAnsi" w:eastAsia="Times New Roman" w:hAnsiTheme="minorHAnsi" w:cstheme="minorHAnsi"/>
          <w:sz w:val="24"/>
          <w:szCs w:val="24"/>
        </w:rPr>
        <w:t>tay in pre-filing as long as necessary to make the application as complete as possible.”</w:t>
      </w:r>
    </w:p>
    <w:p w14:paraId="2D01CCE0" w14:textId="77777777" w:rsidR="00B62D1E" w:rsidRDefault="00B62D1E" w:rsidP="00B62D1E">
      <w:pPr>
        <w:shd w:val="clear" w:color="auto" w:fill="FFFFFF"/>
        <w:spacing w:after="0"/>
        <w:rPr>
          <w:rFonts w:asciiTheme="minorHAnsi" w:eastAsia="Times New Roman" w:hAnsiTheme="minorHAnsi" w:cstheme="minorHAnsi"/>
          <w:sz w:val="24"/>
          <w:szCs w:val="24"/>
        </w:rPr>
      </w:pPr>
    </w:p>
    <w:p w14:paraId="391D668C" w14:textId="5C9ECF8A" w:rsidR="00057E0B" w:rsidRDefault="00057E0B" w:rsidP="00B62D1E">
      <w:pPr>
        <w:spacing w:after="0"/>
        <w:rPr>
          <w:rFonts w:ascii="Calibri" w:eastAsia="Times New Roman" w:hAnsi="Calibri" w:cs="Calibri"/>
          <w:color w:val="000000"/>
          <w:sz w:val="24"/>
          <w:szCs w:val="24"/>
        </w:rPr>
      </w:pPr>
      <w:r w:rsidRPr="00893C45">
        <w:rPr>
          <w:rFonts w:ascii="Calibri" w:eastAsia="Times New Roman" w:hAnsi="Calibri" w:cs="Calibri"/>
          <w:color w:val="000000"/>
          <w:sz w:val="24"/>
          <w:szCs w:val="24"/>
        </w:rPr>
        <w:t>The Alaska LNG project ha</w:t>
      </w:r>
      <w:r>
        <w:rPr>
          <w:rFonts w:ascii="Calibri" w:eastAsia="Times New Roman" w:hAnsi="Calibri" w:cs="Calibri"/>
          <w:color w:val="000000"/>
          <w:sz w:val="24"/>
          <w:szCs w:val="24"/>
        </w:rPr>
        <w:t>d</w:t>
      </w:r>
      <w:r w:rsidRPr="00893C45">
        <w:rPr>
          <w:rFonts w:ascii="Calibri" w:eastAsia="Times New Roman" w:hAnsi="Calibri" w:cs="Calibri"/>
          <w:color w:val="000000"/>
          <w:sz w:val="24"/>
          <w:szCs w:val="24"/>
        </w:rPr>
        <w:t xml:space="preserve"> been in pre-file status since September 2014,</w:t>
      </w:r>
      <w:r>
        <w:rPr>
          <w:rFonts w:ascii="Calibri" w:eastAsia="Times New Roman" w:hAnsi="Calibri" w:cs="Calibri"/>
          <w:color w:val="000000"/>
          <w:sz w:val="24"/>
          <w:szCs w:val="24"/>
        </w:rPr>
        <w:t xml:space="preserve"> when North Slope oil and gas producers ExxonMobil, BP</w:t>
      </w:r>
      <w:r w:rsidR="00431397">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and ConocoPhillips were leading the development effort. </w:t>
      </w:r>
      <w:r w:rsidR="00431397">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The state took over project management in 2016 after the companies declined — due to weak market conditions — to commit to the additional $1 billion or more than would be needed to complete permitting and final engineering and design.</w:t>
      </w:r>
    </w:p>
    <w:p w14:paraId="37F3D30A" w14:textId="77777777" w:rsidR="00057E0B" w:rsidRDefault="00057E0B" w:rsidP="00B62D1E">
      <w:pPr>
        <w:spacing w:after="0"/>
        <w:rPr>
          <w:rFonts w:asciiTheme="minorHAnsi" w:eastAsia="Times New Roman" w:hAnsiTheme="minorHAnsi" w:cstheme="minorHAnsi"/>
          <w:sz w:val="24"/>
          <w:szCs w:val="24"/>
        </w:rPr>
      </w:pPr>
    </w:p>
    <w:p w14:paraId="6F68E4DD" w14:textId="493E815E" w:rsidR="00CC1BA7" w:rsidRPr="00CC1BA7" w:rsidRDefault="00CC1BA7" w:rsidP="00B62D1E">
      <w:pPr>
        <w:spacing w:after="0"/>
        <w:rPr>
          <w:rFonts w:asciiTheme="minorHAnsi" w:eastAsia="Times New Roman" w:hAnsiTheme="minorHAnsi" w:cstheme="minorHAnsi"/>
          <w:b/>
          <w:sz w:val="24"/>
          <w:szCs w:val="24"/>
        </w:rPr>
      </w:pPr>
      <w:r w:rsidRPr="00CC1BA7">
        <w:rPr>
          <w:rFonts w:asciiTheme="minorHAnsi" w:eastAsia="Times New Roman" w:hAnsiTheme="minorHAnsi" w:cstheme="minorHAnsi"/>
          <w:b/>
          <w:sz w:val="24"/>
          <w:szCs w:val="24"/>
        </w:rPr>
        <w:t xml:space="preserve">EXPEDITED SCHEDULE IMPORTANT TO </w:t>
      </w:r>
      <w:r>
        <w:rPr>
          <w:rFonts w:asciiTheme="minorHAnsi" w:eastAsia="Times New Roman" w:hAnsiTheme="minorHAnsi" w:cstheme="minorHAnsi"/>
          <w:b/>
          <w:sz w:val="24"/>
          <w:szCs w:val="24"/>
        </w:rPr>
        <w:t>AGDC</w:t>
      </w:r>
    </w:p>
    <w:p w14:paraId="52BDB4AB" w14:textId="77777777" w:rsidR="00CC1BA7" w:rsidRDefault="00CC1BA7" w:rsidP="00B62D1E">
      <w:pPr>
        <w:spacing w:after="0"/>
        <w:rPr>
          <w:rFonts w:asciiTheme="minorHAnsi" w:eastAsia="Times New Roman" w:hAnsiTheme="minorHAnsi" w:cstheme="minorHAnsi"/>
          <w:sz w:val="24"/>
          <w:szCs w:val="24"/>
        </w:rPr>
      </w:pPr>
    </w:p>
    <w:p w14:paraId="1FF3F9BB" w14:textId="569713D8" w:rsidR="00ED2702" w:rsidRDefault="00057E0B" w:rsidP="00B62D1E">
      <w:pPr>
        <w:spacing w:after="0"/>
        <w:rPr>
          <w:rFonts w:asciiTheme="minorHAnsi" w:eastAsiaTheme="minorEastAsia" w:hAnsiTheme="minorHAnsi" w:cstheme="minorHAnsi"/>
          <w:sz w:val="24"/>
          <w:szCs w:val="24"/>
        </w:rPr>
      </w:pPr>
      <w:r>
        <w:rPr>
          <w:rFonts w:asciiTheme="minorHAnsi" w:eastAsia="Times New Roman" w:hAnsiTheme="minorHAnsi" w:cstheme="minorHAnsi"/>
          <w:sz w:val="24"/>
          <w:szCs w:val="24"/>
        </w:rPr>
        <w:t xml:space="preserve">An expedited </w:t>
      </w:r>
      <w:r w:rsidR="00143D46" w:rsidRPr="00185254">
        <w:rPr>
          <w:rFonts w:ascii="Calibri" w:eastAsia="Times New Roman" w:hAnsi="Calibri" w:cs="Calibri"/>
          <w:sz w:val="24"/>
          <w:szCs w:val="24"/>
        </w:rPr>
        <w:t xml:space="preserve">environmental review schedule is important to </w:t>
      </w:r>
      <w:r w:rsidR="00CC1BA7">
        <w:rPr>
          <w:rFonts w:ascii="Calibri" w:eastAsia="Times New Roman" w:hAnsi="Calibri" w:cs="Calibri"/>
          <w:sz w:val="24"/>
          <w:szCs w:val="24"/>
        </w:rPr>
        <w:t>the state’s</w:t>
      </w:r>
      <w:r w:rsidR="00B62D1E">
        <w:rPr>
          <w:rFonts w:ascii="Calibri" w:eastAsia="Times New Roman" w:hAnsi="Calibri" w:cs="Calibri"/>
          <w:sz w:val="24"/>
          <w:szCs w:val="24"/>
        </w:rPr>
        <w:t xml:space="preserve"> </w:t>
      </w:r>
      <w:r w:rsidR="00143D46" w:rsidRPr="00185254">
        <w:rPr>
          <w:rFonts w:ascii="Calibri" w:eastAsia="Times New Roman" w:hAnsi="Calibri" w:cs="Calibri"/>
          <w:sz w:val="24"/>
          <w:szCs w:val="24"/>
        </w:rPr>
        <w:t>marketing efforts</w:t>
      </w:r>
      <w:r w:rsidR="00B62D1E">
        <w:rPr>
          <w:rFonts w:ascii="Calibri" w:eastAsia="Times New Roman" w:hAnsi="Calibri" w:cs="Calibri"/>
          <w:sz w:val="24"/>
          <w:szCs w:val="24"/>
        </w:rPr>
        <w:t xml:space="preserve"> for the project</w:t>
      </w:r>
      <w:r>
        <w:rPr>
          <w:rFonts w:ascii="Calibri" w:eastAsia="Times New Roman" w:hAnsi="Calibri" w:cs="Calibri"/>
          <w:sz w:val="24"/>
          <w:szCs w:val="24"/>
        </w:rPr>
        <w:t>, AGDC wrote to FERC in November</w:t>
      </w:r>
      <w:r w:rsidR="003B7962">
        <w:rPr>
          <w:rFonts w:ascii="Calibri" w:eastAsia="Times New Roman" w:hAnsi="Calibri" w:cs="Calibri"/>
          <w:sz w:val="24"/>
          <w:szCs w:val="24"/>
        </w:rPr>
        <w:t xml:space="preserve"> 2017</w:t>
      </w:r>
      <w:r w:rsidR="00B62D1E">
        <w:rPr>
          <w:rFonts w:ascii="Calibri" w:eastAsia="Times New Roman" w:hAnsi="Calibri" w:cs="Calibri"/>
          <w:sz w:val="24"/>
          <w:szCs w:val="24"/>
        </w:rPr>
        <w:t xml:space="preserve">. </w:t>
      </w:r>
      <w:r w:rsidR="00431397">
        <w:rPr>
          <w:rFonts w:ascii="Calibri" w:eastAsia="Times New Roman" w:hAnsi="Calibri" w:cs="Calibri"/>
          <w:sz w:val="24"/>
          <w:szCs w:val="24"/>
        </w:rPr>
        <w:t xml:space="preserve"> </w:t>
      </w:r>
      <w:r w:rsidR="00143D46" w:rsidRPr="00185254">
        <w:rPr>
          <w:rFonts w:ascii="Calibri" w:eastAsia="Times New Roman" w:hAnsi="Calibri" w:cs="Calibri"/>
          <w:sz w:val="24"/>
          <w:szCs w:val="24"/>
        </w:rPr>
        <w:t>“</w:t>
      </w:r>
      <w:r w:rsidR="00143D46" w:rsidRPr="00185254">
        <w:rPr>
          <w:rFonts w:ascii="Calibri" w:hAnsi="Calibri" w:cs="Calibri"/>
          <w:sz w:val="24"/>
          <w:szCs w:val="24"/>
        </w:rPr>
        <w:t>The issuance of a schedule will provide valuable assurance to the market that the regulatory process … is on track and consistent with Alaska LNG's targeted in-service date.”</w:t>
      </w:r>
      <w:r w:rsidR="00431397">
        <w:rPr>
          <w:rFonts w:ascii="Calibri" w:hAnsi="Calibri" w:cs="Calibri"/>
          <w:sz w:val="24"/>
          <w:szCs w:val="24"/>
        </w:rPr>
        <w:t xml:space="preserve"> </w:t>
      </w:r>
      <w:r w:rsidR="00B62D1E">
        <w:rPr>
          <w:rFonts w:ascii="Calibri" w:hAnsi="Calibri" w:cs="Calibri"/>
          <w:sz w:val="24"/>
          <w:szCs w:val="24"/>
        </w:rPr>
        <w:t xml:space="preserve"> The state is </w:t>
      </w:r>
      <w:r w:rsidR="00646C06">
        <w:rPr>
          <w:rFonts w:ascii="Calibri" w:hAnsi="Calibri" w:cs="Calibri"/>
          <w:sz w:val="24"/>
          <w:szCs w:val="24"/>
        </w:rPr>
        <w:t>targeting</w:t>
      </w:r>
      <w:r w:rsidR="00B62D1E">
        <w:rPr>
          <w:rFonts w:ascii="Calibri" w:hAnsi="Calibri" w:cs="Calibri"/>
          <w:sz w:val="24"/>
          <w:szCs w:val="24"/>
        </w:rPr>
        <w:t xml:space="preserve"> a final investment decision on the project next year, assuming it obtains FERC and other regulatory approvals and can line up </w:t>
      </w:r>
      <w:r w:rsidR="00646C06">
        <w:rPr>
          <w:rFonts w:ascii="Calibri" w:hAnsi="Calibri" w:cs="Calibri"/>
          <w:sz w:val="24"/>
          <w:szCs w:val="24"/>
        </w:rPr>
        <w:t xml:space="preserve">gas supply contracts with the producers, </w:t>
      </w:r>
      <w:r w:rsidR="00B62D1E">
        <w:rPr>
          <w:rFonts w:ascii="Calibri" w:hAnsi="Calibri" w:cs="Calibri"/>
          <w:sz w:val="24"/>
          <w:szCs w:val="24"/>
        </w:rPr>
        <w:t>customers</w:t>
      </w:r>
      <w:r w:rsidR="00646C06">
        <w:rPr>
          <w:rFonts w:ascii="Calibri" w:hAnsi="Calibri" w:cs="Calibri"/>
          <w:sz w:val="24"/>
          <w:szCs w:val="24"/>
        </w:rPr>
        <w:t xml:space="preserve"> to buy the LNG</w:t>
      </w:r>
      <w:r w:rsidR="00B62D1E">
        <w:rPr>
          <w:rFonts w:ascii="Calibri" w:hAnsi="Calibri" w:cs="Calibri"/>
          <w:sz w:val="24"/>
          <w:szCs w:val="24"/>
        </w:rPr>
        <w:t xml:space="preserve">, partners and financing. </w:t>
      </w:r>
      <w:r w:rsidR="00431397">
        <w:rPr>
          <w:rFonts w:ascii="Calibri" w:hAnsi="Calibri" w:cs="Calibri"/>
          <w:sz w:val="24"/>
          <w:szCs w:val="24"/>
        </w:rPr>
        <w:t xml:space="preserve"> </w:t>
      </w:r>
      <w:r w:rsidR="00B62D1E">
        <w:rPr>
          <w:rFonts w:ascii="Calibri" w:hAnsi="Calibri" w:cs="Calibri"/>
          <w:sz w:val="24"/>
          <w:szCs w:val="24"/>
        </w:rPr>
        <w:t xml:space="preserve">AGDC </w:t>
      </w:r>
      <w:r w:rsidR="003B7962">
        <w:rPr>
          <w:rFonts w:ascii="Calibri" w:hAnsi="Calibri" w:cs="Calibri"/>
          <w:sz w:val="24"/>
          <w:szCs w:val="24"/>
        </w:rPr>
        <w:t>has said</w:t>
      </w:r>
      <w:r w:rsidR="00B62D1E">
        <w:rPr>
          <w:rFonts w:ascii="Calibri" w:hAnsi="Calibri" w:cs="Calibri"/>
          <w:sz w:val="24"/>
          <w:szCs w:val="24"/>
        </w:rPr>
        <w:t xml:space="preserve"> it wants to complete construction and ship its first cargo in 2024.</w:t>
      </w:r>
    </w:p>
    <w:p w14:paraId="6DC03F44" w14:textId="77777777" w:rsidR="00A45888" w:rsidRDefault="00A45888" w:rsidP="00A45888">
      <w:pPr>
        <w:shd w:val="clear" w:color="auto" w:fill="FFFFFF"/>
        <w:spacing w:after="0"/>
        <w:rPr>
          <w:rFonts w:asciiTheme="minorHAnsi" w:eastAsiaTheme="minorEastAsia" w:hAnsiTheme="minorHAnsi" w:cstheme="minorHAnsi"/>
          <w:sz w:val="24"/>
          <w:szCs w:val="24"/>
        </w:rPr>
      </w:pPr>
    </w:p>
    <w:p w14:paraId="034806B9" w14:textId="41503A6D" w:rsidR="00057E0B" w:rsidRPr="00724FC2" w:rsidRDefault="00057E0B" w:rsidP="00057E0B">
      <w:pPr>
        <w:spacing w:after="0"/>
        <w:rPr>
          <w:rFonts w:asciiTheme="minorHAnsi" w:eastAsiaTheme="minorHAnsi" w:hAnsiTheme="minorHAnsi" w:cstheme="minorHAnsi"/>
          <w:sz w:val="24"/>
          <w:szCs w:val="24"/>
        </w:rPr>
      </w:pPr>
      <w:r>
        <w:rPr>
          <w:rFonts w:asciiTheme="minorHAnsi" w:hAnsiTheme="minorHAnsi" w:cstheme="minorHAnsi"/>
          <w:color w:val="000000"/>
          <w:sz w:val="24"/>
          <w:szCs w:val="24"/>
        </w:rPr>
        <w:t>Lengthy initial d</w:t>
      </w:r>
      <w:r w:rsidRPr="00724FC2">
        <w:rPr>
          <w:rFonts w:asciiTheme="minorHAnsi" w:hAnsiTheme="minorHAnsi" w:cstheme="minorHAnsi"/>
          <w:color w:val="000000"/>
          <w:sz w:val="24"/>
          <w:szCs w:val="24"/>
        </w:rPr>
        <w:t xml:space="preserve">ata requests </w:t>
      </w:r>
      <w:r>
        <w:rPr>
          <w:rFonts w:asciiTheme="minorHAnsi" w:hAnsiTheme="minorHAnsi" w:cstheme="minorHAnsi"/>
          <w:color w:val="000000"/>
          <w:sz w:val="24"/>
          <w:szCs w:val="24"/>
        </w:rPr>
        <w:t xml:space="preserve">and follow-up questions </w:t>
      </w:r>
      <w:r w:rsidRPr="00724FC2">
        <w:rPr>
          <w:rFonts w:asciiTheme="minorHAnsi" w:hAnsiTheme="minorHAnsi" w:cstheme="minorHAnsi"/>
          <w:color w:val="000000"/>
          <w:sz w:val="24"/>
          <w:szCs w:val="24"/>
        </w:rPr>
        <w:t xml:space="preserve">from FERC are common before the agency issues </w:t>
      </w:r>
      <w:r w:rsidR="003B7962">
        <w:rPr>
          <w:rFonts w:asciiTheme="minorHAnsi" w:hAnsiTheme="minorHAnsi" w:cstheme="minorHAnsi"/>
          <w:color w:val="000000"/>
          <w:sz w:val="24"/>
          <w:szCs w:val="24"/>
        </w:rPr>
        <w:t>an</w:t>
      </w:r>
      <w:r w:rsidRPr="00724FC2">
        <w:rPr>
          <w:rFonts w:asciiTheme="minorHAnsi" w:hAnsiTheme="minorHAnsi" w:cstheme="minorHAnsi"/>
          <w:color w:val="000000"/>
          <w:sz w:val="24"/>
          <w:szCs w:val="24"/>
        </w:rPr>
        <w:t xml:space="preserve"> environmental review schedule. Looking at </w:t>
      </w:r>
      <w:r w:rsidR="00CC1BA7">
        <w:rPr>
          <w:rFonts w:asciiTheme="minorHAnsi" w:hAnsiTheme="minorHAnsi" w:cstheme="minorHAnsi"/>
          <w:color w:val="000000"/>
          <w:sz w:val="24"/>
          <w:szCs w:val="24"/>
        </w:rPr>
        <w:t xml:space="preserve">seven </w:t>
      </w:r>
      <w:r>
        <w:rPr>
          <w:rFonts w:asciiTheme="minorHAnsi" w:hAnsiTheme="minorHAnsi" w:cstheme="minorHAnsi"/>
          <w:color w:val="000000"/>
          <w:sz w:val="24"/>
          <w:szCs w:val="24"/>
        </w:rPr>
        <w:t xml:space="preserve">U.S. Gulf Coast </w:t>
      </w:r>
      <w:r w:rsidRPr="00724FC2">
        <w:rPr>
          <w:rFonts w:asciiTheme="minorHAnsi" w:hAnsiTheme="minorHAnsi" w:cstheme="minorHAnsi"/>
          <w:color w:val="000000"/>
          <w:sz w:val="24"/>
          <w:szCs w:val="24"/>
        </w:rPr>
        <w:t>LNG projects that received their Notice of Schedule from FERC between 2011 and 201</w:t>
      </w:r>
      <w:r w:rsidR="00CC1BA7">
        <w:rPr>
          <w:rFonts w:asciiTheme="minorHAnsi" w:hAnsiTheme="minorHAnsi" w:cstheme="minorHAnsi"/>
          <w:color w:val="000000"/>
          <w:sz w:val="24"/>
          <w:szCs w:val="24"/>
        </w:rPr>
        <w:t>6</w:t>
      </w:r>
      <w:r w:rsidRPr="00724FC2">
        <w:rPr>
          <w:rFonts w:asciiTheme="minorHAnsi" w:hAnsiTheme="minorHAnsi" w:cstheme="minorHAnsi"/>
          <w:color w:val="000000"/>
          <w:sz w:val="24"/>
          <w:szCs w:val="24"/>
        </w:rPr>
        <w:t xml:space="preserve">, </w:t>
      </w:r>
      <w:r w:rsidR="00541EED">
        <w:rPr>
          <w:rFonts w:asciiTheme="minorHAnsi" w:hAnsiTheme="minorHAnsi" w:cstheme="minorHAnsi"/>
          <w:color w:val="000000"/>
          <w:sz w:val="24"/>
          <w:szCs w:val="24"/>
        </w:rPr>
        <w:t>the average</w:t>
      </w:r>
      <w:r w:rsidR="00CC1BA7" w:rsidRPr="00CC1BA7">
        <w:rPr>
          <w:rFonts w:asciiTheme="minorHAnsi" w:hAnsiTheme="minorHAnsi" w:cstheme="minorHAnsi"/>
          <w:color w:val="000000"/>
          <w:sz w:val="24"/>
          <w:szCs w:val="24"/>
        </w:rPr>
        <w:t xml:space="preserve"> </w:t>
      </w:r>
      <w:r w:rsidR="00CC1BA7">
        <w:rPr>
          <w:rFonts w:asciiTheme="minorHAnsi" w:hAnsiTheme="minorHAnsi" w:cstheme="minorHAnsi"/>
          <w:color w:val="000000"/>
          <w:sz w:val="24"/>
          <w:szCs w:val="24"/>
        </w:rPr>
        <w:t xml:space="preserve">time from </w:t>
      </w:r>
      <w:r w:rsidR="00CC1BA7" w:rsidRPr="00724FC2">
        <w:rPr>
          <w:rFonts w:asciiTheme="minorHAnsi" w:hAnsiTheme="minorHAnsi" w:cstheme="minorHAnsi"/>
          <w:color w:val="000000"/>
          <w:sz w:val="24"/>
          <w:szCs w:val="24"/>
        </w:rPr>
        <w:t xml:space="preserve">application to </w:t>
      </w:r>
      <w:r w:rsidR="00646C06">
        <w:rPr>
          <w:rFonts w:asciiTheme="minorHAnsi" w:hAnsiTheme="minorHAnsi" w:cstheme="minorHAnsi"/>
          <w:color w:val="000000"/>
          <w:sz w:val="24"/>
          <w:szCs w:val="24"/>
        </w:rPr>
        <w:t xml:space="preserve">an </w:t>
      </w:r>
      <w:r w:rsidR="00CC1BA7">
        <w:rPr>
          <w:rFonts w:asciiTheme="minorHAnsi" w:hAnsiTheme="minorHAnsi" w:cstheme="minorHAnsi"/>
          <w:color w:val="000000"/>
          <w:sz w:val="24"/>
          <w:szCs w:val="24"/>
        </w:rPr>
        <w:t xml:space="preserve">EIS </w:t>
      </w:r>
      <w:r w:rsidR="00CC1BA7" w:rsidRPr="00724FC2">
        <w:rPr>
          <w:rFonts w:asciiTheme="minorHAnsi" w:hAnsiTheme="minorHAnsi" w:cstheme="minorHAnsi"/>
          <w:color w:val="000000"/>
          <w:sz w:val="24"/>
          <w:szCs w:val="24"/>
        </w:rPr>
        <w:t>schedule</w:t>
      </w:r>
      <w:r w:rsidR="00541EED">
        <w:rPr>
          <w:rFonts w:asciiTheme="minorHAnsi" w:hAnsiTheme="minorHAnsi" w:cstheme="minorHAnsi"/>
          <w:color w:val="000000"/>
          <w:sz w:val="24"/>
          <w:szCs w:val="24"/>
        </w:rPr>
        <w:t xml:space="preserve"> was </w:t>
      </w:r>
      <w:r w:rsidR="00CC1BA7">
        <w:rPr>
          <w:rFonts w:asciiTheme="minorHAnsi" w:hAnsiTheme="minorHAnsi" w:cstheme="minorHAnsi"/>
          <w:color w:val="000000"/>
          <w:sz w:val="24"/>
          <w:szCs w:val="24"/>
        </w:rPr>
        <w:t>12</w:t>
      </w:r>
      <w:r w:rsidR="00541EED">
        <w:rPr>
          <w:rFonts w:asciiTheme="minorHAnsi" w:hAnsiTheme="minorHAnsi" w:cstheme="minorHAnsi"/>
          <w:color w:val="000000"/>
          <w:sz w:val="24"/>
          <w:szCs w:val="24"/>
        </w:rPr>
        <w:t xml:space="preserve"> months</w:t>
      </w:r>
      <w:r w:rsidR="00CC1BA7">
        <w:rPr>
          <w:rFonts w:asciiTheme="minorHAnsi" w:hAnsiTheme="minorHAnsi" w:cstheme="minorHAnsi"/>
          <w:color w:val="000000"/>
          <w:sz w:val="24"/>
          <w:szCs w:val="24"/>
        </w:rPr>
        <w:t xml:space="preserve"> — </w:t>
      </w:r>
      <w:r w:rsidR="00541EED">
        <w:rPr>
          <w:rFonts w:asciiTheme="minorHAnsi" w:hAnsiTheme="minorHAnsi" w:cstheme="minorHAnsi"/>
          <w:color w:val="000000"/>
          <w:sz w:val="24"/>
          <w:szCs w:val="24"/>
        </w:rPr>
        <w:t xml:space="preserve">one </w:t>
      </w:r>
      <w:r w:rsidR="00CC1BA7">
        <w:rPr>
          <w:rFonts w:asciiTheme="minorHAnsi" w:hAnsiTheme="minorHAnsi" w:cstheme="minorHAnsi"/>
          <w:color w:val="000000"/>
          <w:sz w:val="24"/>
          <w:szCs w:val="24"/>
        </w:rPr>
        <w:t xml:space="preserve">large project </w:t>
      </w:r>
      <w:r w:rsidR="00541EED">
        <w:rPr>
          <w:rFonts w:asciiTheme="minorHAnsi" w:hAnsiTheme="minorHAnsi" w:cstheme="minorHAnsi"/>
          <w:color w:val="000000"/>
          <w:sz w:val="24"/>
          <w:szCs w:val="24"/>
        </w:rPr>
        <w:t>took 19 months</w:t>
      </w:r>
      <w:r>
        <w:rPr>
          <w:rFonts w:asciiTheme="minorHAnsi" w:hAnsiTheme="minorHAnsi" w:cstheme="minorHAnsi"/>
          <w:color w:val="000000"/>
          <w:sz w:val="24"/>
          <w:szCs w:val="24"/>
        </w:rPr>
        <w:t xml:space="preserve">— </w:t>
      </w:r>
      <w:r w:rsidR="00646C06">
        <w:rPr>
          <w:rFonts w:asciiTheme="minorHAnsi" w:hAnsiTheme="minorHAnsi" w:cstheme="minorHAnsi"/>
          <w:color w:val="000000"/>
          <w:sz w:val="24"/>
          <w:szCs w:val="24"/>
        </w:rPr>
        <w:t>though</w:t>
      </w:r>
      <w:r>
        <w:rPr>
          <w:rFonts w:asciiTheme="minorHAnsi" w:hAnsiTheme="minorHAnsi" w:cstheme="minorHAnsi"/>
          <w:color w:val="000000"/>
          <w:sz w:val="24"/>
          <w:szCs w:val="24"/>
        </w:rPr>
        <w:t xml:space="preserve"> none of those coastal terminals included 870 miles of pipeline as the Alaska project proposes from Point Thomson to Prudhoe Bay and through the middle of the state to a liquefaction terminal on Cook Inlet</w:t>
      </w:r>
      <w:r w:rsidRPr="00724FC2">
        <w:rPr>
          <w:rFonts w:asciiTheme="minorHAnsi" w:hAnsiTheme="minorHAnsi" w:cstheme="minorHAnsi"/>
          <w:color w:val="000000"/>
          <w:sz w:val="24"/>
          <w:szCs w:val="24"/>
        </w:rPr>
        <w:t>.</w:t>
      </w:r>
    </w:p>
    <w:p w14:paraId="7D3693C9" w14:textId="77777777" w:rsidR="00057E0B" w:rsidRDefault="00057E0B" w:rsidP="00A45888">
      <w:pPr>
        <w:shd w:val="clear" w:color="auto" w:fill="FFFFFF"/>
        <w:spacing w:after="0"/>
        <w:rPr>
          <w:rFonts w:asciiTheme="minorHAnsi" w:eastAsiaTheme="minorEastAsia" w:hAnsiTheme="minorHAnsi" w:cstheme="minorHAnsi"/>
          <w:sz w:val="24"/>
          <w:szCs w:val="24"/>
        </w:rPr>
      </w:pPr>
    </w:p>
    <w:p w14:paraId="2D34AE63" w14:textId="6C63B4F6" w:rsidR="00CC1BA7" w:rsidRPr="00CC1BA7" w:rsidRDefault="00CC1BA7" w:rsidP="00A45888">
      <w:pPr>
        <w:shd w:val="clear" w:color="auto" w:fill="FFFFFF"/>
        <w:spacing w:after="0"/>
        <w:rPr>
          <w:rFonts w:asciiTheme="minorHAnsi" w:eastAsiaTheme="minorEastAsia" w:hAnsiTheme="minorHAnsi" w:cstheme="minorHAnsi"/>
          <w:b/>
          <w:sz w:val="24"/>
          <w:szCs w:val="24"/>
        </w:rPr>
      </w:pPr>
      <w:r w:rsidRPr="00CC1BA7">
        <w:rPr>
          <w:rFonts w:asciiTheme="minorHAnsi" w:eastAsiaTheme="minorEastAsia" w:hAnsiTheme="minorHAnsi" w:cstheme="minorHAnsi"/>
          <w:b/>
          <w:sz w:val="24"/>
          <w:szCs w:val="24"/>
        </w:rPr>
        <w:t>FERC DISAGREES WITH AGDC ON NEED FOR STUDIES</w:t>
      </w:r>
    </w:p>
    <w:p w14:paraId="2D874B02" w14:textId="77777777" w:rsidR="00CC1BA7" w:rsidRDefault="00CC1BA7" w:rsidP="00A45888">
      <w:pPr>
        <w:shd w:val="clear" w:color="auto" w:fill="FFFFFF"/>
        <w:spacing w:after="0"/>
        <w:rPr>
          <w:rFonts w:asciiTheme="minorHAnsi" w:eastAsiaTheme="minorEastAsia" w:hAnsiTheme="minorHAnsi" w:cstheme="minorHAnsi"/>
          <w:sz w:val="24"/>
          <w:szCs w:val="24"/>
        </w:rPr>
      </w:pPr>
    </w:p>
    <w:p w14:paraId="31D08926" w14:textId="7CE13868" w:rsidR="003B7962" w:rsidRDefault="003B7962"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A</w:t>
      </w:r>
      <w:r w:rsidR="00541EED">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point of contention</w:t>
      </w:r>
      <w:r w:rsidR="00541EED">
        <w:rPr>
          <w:rFonts w:asciiTheme="minorHAnsi" w:eastAsiaTheme="minorEastAsia" w:hAnsiTheme="minorHAnsi" w:cstheme="minorHAnsi"/>
          <w:sz w:val="24"/>
          <w:szCs w:val="24"/>
        </w:rPr>
        <w:t xml:space="preserve"> raised in FERC’s Feb. 15 letter</w:t>
      </w:r>
      <w:r>
        <w:rPr>
          <w:rFonts w:asciiTheme="minorHAnsi" w:eastAsiaTheme="minorEastAsia" w:hAnsiTheme="minorHAnsi" w:cstheme="minorHAnsi"/>
          <w:sz w:val="24"/>
          <w:szCs w:val="24"/>
        </w:rPr>
        <w:t xml:space="preserve"> is whether AGDC must submit specific study results to FERC for the environmental review. </w:t>
      </w:r>
      <w:r w:rsidR="00431397">
        <w:rPr>
          <w:rFonts w:asciiTheme="minorHAnsi" w:eastAsiaTheme="minorEastAsia" w:hAnsiTheme="minorHAnsi" w:cstheme="minorHAnsi"/>
          <w:sz w:val="24"/>
          <w:szCs w:val="24"/>
        </w:rPr>
        <w:t xml:space="preserve"> </w:t>
      </w:r>
      <w:r w:rsidR="00A45888">
        <w:rPr>
          <w:rFonts w:asciiTheme="minorHAnsi" w:eastAsiaTheme="minorEastAsia" w:hAnsiTheme="minorHAnsi" w:cstheme="minorHAnsi"/>
          <w:sz w:val="24"/>
          <w:szCs w:val="24"/>
        </w:rPr>
        <w:t>“In your previous responses to requests</w:t>
      </w:r>
      <w:r>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lastRenderedPageBreak/>
        <w:t xml:space="preserve">FERC said.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w:t>
      </w:r>
      <w:r w:rsidR="00A45888">
        <w:rPr>
          <w:rFonts w:asciiTheme="minorHAnsi" w:eastAsiaTheme="minorEastAsia" w:hAnsiTheme="minorHAnsi" w:cstheme="minorHAnsi"/>
          <w:sz w:val="24"/>
          <w:szCs w:val="24"/>
        </w:rPr>
        <w:t>AGDC has stated that because these studies are not required by the state or other entities, AGDC will not provide the information (e.g. sediment modeling, health impact assessment</w:t>
      </w:r>
      <w:r w:rsidR="00646C06">
        <w:rPr>
          <w:rFonts w:asciiTheme="minorHAnsi" w:eastAsiaTheme="minorEastAsia" w:hAnsiTheme="minorHAnsi" w:cstheme="minorHAnsi"/>
          <w:sz w:val="24"/>
          <w:szCs w:val="24"/>
        </w:rPr>
        <w:t>,</w:t>
      </w:r>
      <w:r w:rsidR="00A45888">
        <w:rPr>
          <w:rFonts w:asciiTheme="minorHAnsi" w:eastAsiaTheme="minorEastAsia" w:hAnsiTheme="minorHAnsi" w:cstheme="minorHAnsi"/>
          <w:sz w:val="24"/>
          <w:szCs w:val="24"/>
        </w:rPr>
        <w:t xml:space="preserve"> etc.).</w:t>
      </w:r>
      <w:r w:rsidR="00A969D2">
        <w:rPr>
          <w:rFonts w:asciiTheme="minorHAnsi" w:eastAsiaTheme="minorEastAsia" w:hAnsiTheme="minorHAnsi" w:cstheme="minorHAnsi"/>
          <w:sz w:val="24"/>
          <w:szCs w:val="24"/>
        </w:rPr>
        <w:t>”</w:t>
      </w:r>
    </w:p>
    <w:p w14:paraId="282A3C6A" w14:textId="77777777" w:rsidR="003B7962" w:rsidRDefault="003B7962" w:rsidP="00A45888">
      <w:pPr>
        <w:shd w:val="clear" w:color="auto" w:fill="FFFFFF"/>
        <w:spacing w:after="0"/>
        <w:rPr>
          <w:rFonts w:asciiTheme="minorHAnsi" w:eastAsiaTheme="minorEastAsia" w:hAnsiTheme="minorHAnsi" w:cstheme="minorHAnsi"/>
          <w:sz w:val="24"/>
          <w:szCs w:val="24"/>
        </w:rPr>
      </w:pPr>
    </w:p>
    <w:p w14:paraId="775C7E87" w14:textId="5417B97B" w:rsidR="00A45888" w:rsidRDefault="003B7962" w:rsidP="00A45888">
      <w:pPr>
        <w:shd w:val="clear" w:color="auto" w:fill="FFFFFF"/>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w:t>
      </w:r>
      <w:r w:rsidR="00A45888">
        <w:rPr>
          <w:rFonts w:asciiTheme="minorHAnsi" w:eastAsiaTheme="minorEastAsia" w:hAnsiTheme="minorHAnsi" w:cstheme="minorHAnsi"/>
          <w:sz w:val="24"/>
          <w:szCs w:val="24"/>
        </w:rPr>
        <w:t>I remind you</w:t>
      </w:r>
      <w:r>
        <w:rPr>
          <w:rFonts w:asciiTheme="minorHAnsi" w:eastAsiaTheme="minorEastAsia" w:hAnsiTheme="minorHAnsi" w:cstheme="minorHAnsi"/>
          <w:sz w:val="24"/>
          <w:szCs w:val="24"/>
        </w:rPr>
        <w:t xml:space="preserve">,” the letter </w:t>
      </w:r>
      <w:r w:rsidR="00646C06">
        <w:rPr>
          <w:rFonts w:asciiTheme="minorHAnsi" w:eastAsiaTheme="minorEastAsia" w:hAnsiTheme="minorHAnsi" w:cstheme="minorHAnsi"/>
          <w:sz w:val="24"/>
          <w:szCs w:val="24"/>
        </w:rPr>
        <w:t>said</w:t>
      </w:r>
      <w:r>
        <w:rPr>
          <w:rFonts w:asciiTheme="minorHAnsi" w:eastAsiaTheme="minorEastAsia" w:hAnsiTheme="minorHAnsi" w:cstheme="minorHAnsi"/>
          <w:sz w:val="24"/>
          <w:szCs w:val="24"/>
        </w:rPr>
        <w:t>, “</w:t>
      </w:r>
      <w:r w:rsidR="00A45888">
        <w:rPr>
          <w:rFonts w:asciiTheme="minorHAnsi" w:eastAsiaTheme="minorEastAsia" w:hAnsiTheme="minorHAnsi" w:cstheme="minorHAnsi"/>
          <w:sz w:val="24"/>
          <w:szCs w:val="24"/>
        </w:rPr>
        <w:t>that FERC’s regulations implementing the National Environmental Policy Act require applications filed under the Natural Gas Act to include the information.</w:t>
      </w:r>
      <w:r>
        <w:rPr>
          <w:rFonts w:asciiTheme="minorHAnsi" w:eastAsiaTheme="minorEastAsia" w:hAnsiTheme="minorHAnsi" w:cstheme="minorHAnsi"/>
          <w:sz w:val="24"/>
          <w:szCs w:val="24"/>
        </w:rPr>
        <w:t xml:space="preserve"> … Applicants must conduct any studies or provide any information that the commission staff considers necessary </w:t>
      </w:r>
      <w:r w:rsidR="002637B9">
        <w:rPr>
          <w:rFonts w:asciiTheme="minorHAnsi" w:eastAsiaTheme="minorEastAsia" w:hAnsiTheme="minorHAnsi" w:cstheme="minorHAnsi"/>
          <w:sz w:val="24"/>
          <w:szCs w:val="24"/>
        </w:rPr>
        <w:t>or relevant to determine the impact of the proposal on the human environment and natural resources.</w:t>
      </w:r>
      <w:r>
        <w:rPr>
          <w:rFonts w:asciiTheme="minorHAnsi" w:eastAsiaTheme="minorEastAsia" w:hAnsiTheme="minorHAnsi" w:cstheme="minorHAnsi"/>
          <w:sz w:val="24"/>
          <w:szCs w:val="24"/>
        </w:rPr>
        <w:t>”</w:t>
      </w:r>
    </w:p>
    <w:p w14:paraId="326F00F2" w14:textId="77777777" w:rsidR="003B7962" w:rsidRDefault="003B7962" w:rsidP="00A45888">
      <w:pPr>
        <w:shd w:val="clear" w:color="auto" w:fill="FFFFFF"/>
        <w:spacing w:after="0"/>
        <w:rPr>
          <w:rFonts w:asciiTheme="minorHAnsi" w:eastAsiaTheme="minorEastAsia" w:hAnsiTheme="minorHAnsi" w:cstheme="minorHAnsi"/>
          <w:sz w:val="24"/>
          <w:szCs w:val="24"/>
        </w:rPr>
      </w:pPr>
    </w:p>
    <w:p w14:paraId="67842026" w14:textId="7754BF9C" w:rsidR="006939B1" w:rsidRDefault="002637B9"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FERC further advised: “Any response from AGDC that states </w:t>
      </w:r>
      <w:r w:rsidR="00646C06">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the information is not required by the state or other agency and will not be provided’ will be considered incomplete and reissued [by FERC],” affecting the EIS schedule.</w:t>
      </w:r>
    </w:p>
    <w:p w14:paraId="52D242A5" w14:textId="77777777" w:rsidR="002637B9" w:rsidRDefault="002637B9" w:rsidP="00A45888">
      <w:pPr>
        <w:spacing w:after="0"/>
        <w:rPr>
          <w:rFonts w:asciiTheme="minorHAnsi" w:eastAsiaTheme="minorEastAsia" w:hAnsiTheme="minorHAnsi" w:cstheme="minorHAnsi"/>
          <w:sz w:val="24"/>
          <w:szCs w:val="24"/>
        </w:rPr>
      </w:pPr>
    </w:p>
    <w:p w14:paraId="4FE42C12" w14:textId="77777777" w:rsidR="002637B9" w:rsidRDefault="002637B9"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FERC instructed AGDC to respond within 20 days, either with the requested information or a schedule of when the answers will be provided.</w:t>
      </w:r>
    </w:p>
    <w:p w14:paraId="7F7B99AF" w14:textId="77777777" w:rsidR="00393F49" w:rsidRDefault="00393F49" w:rsidP="00A45888">
      <w:pPr>
        <w:spacing w:after="0"/>
        <w:rPr>
          <w:rFonts w:asciiTheme="minorHAnsi" w:eastAsiaTheme="minorEastAsia" w:hAnsiTheme="minorHAnsi" w:cstheme="minorHAnsi"/>
          <w:sz w:val="24"/>
          <w:szCs w:val="24"/>
        </w:rPr>
      </w:pPr>
    </w:p>
    <w:p w14:paraId="36BCC59A" w14:textId="4BC90659" w:rsidR="00CC1BA7" w:rsidRDefault="001F5B8E"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The state corporation has projected spending about $5 million a month this year on marketing, regulatory</w:t>
      </w:r>
      <w:r w:rsidR="00431397">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and other efforts, and at that rate it has enough state funds to last to the end of the year.</w:t>
      </w:r>
      <w:r w:rsidR="00E462AB">
        <w:rPr>
          <w:rFonts w:asciiTheme="minorHAnsi" w:eastAsiaTheme="minorEastAsia" w:hAnsiTheme="minorHAnsi" w:cstheme="minorHAnsi"/>
          <w:sz w:val="24"/>
          <w:szCs w:val="24"/>
        </w:rPr>
        <w:t xml:space="preserve"> </w:t>
      </w:r>
      <w:r w:rsidR="00431397">
        <w:rPr>
          <w:rFonts w:asciiTheme="minorHAnsi" w:eastAsiaTheme="minorEastAsia" w:hAnsiTheme="minorHAnsi" w:cstheme="minorHAnsi"/>
          <w:sz w:val="24"/>
          <w:szCs w:val="24"/>
        </w:rPr>
        <w:t xml:space="preserve"> </w:t>
      </w:r>
      <w:r w:rsidR="00E462AB">
        <w:rPr>
          <w:rFonts w:asciiTheme="minorHAnsi" w:eastAsiaTheme="minorEastAsia" w:hAnsiTheme="minorHAnsi" w:cstheme="minorHAnsi"/>
          <w:sz w:val="24"/>
          <w:szCs w:val="24"/>
        </w:rPr>
        <w:t xml:space="preserve">The governor has not requested legislative approval of </w:t>
      </w:r>
      <w:r w:rsidR="00646C06">
        <w:rPr>
          <w:rFonts w:asciiTheme="minorHAnsi" w:eastAsiaTheme="minorEastAsia" w:hAnsiTheme="minorHAnsi" w:cstheme="minorHAnsi"/>
          <w:sz w:val="24"/>
          <w:szCs w:val="24"/>
        </w:rPr>
        <w:t>any new</w:t>
      </w:r>
      <w:r w:rsidR="00E462AB">
        <w:rPr>
          <w:rFonts w:asciiTheme="minorHAnsi" w:eastAsiaTheme="minorEastAsia" w:hAnsiTheme="minorHAnsi" w:cstheme="minorHAnsi"/>
          <w:sz w:val="24"/>
          <w:szCs w:val="24"/>
        </w:rPr>
        <w:t xml:space="preserve"> funds at this time.</w:t>
      </w:r>
    </w:p>
    <w:p w14:paraId="48706044" w14:textId="77777777" w:rsidR="00CC1BA7" w:rsidRDefault="00CC1BA7" w:rsidP="00A45888">
      <w:pPr>
        <w:spacing w:after="0"/>
        <w:rPr>
          <w:rFonts w:asciiTheme="minorHAnsi" w:eastAsiaTheme="minorEastAsia" w:hAnsiTheme="minorHAnsi" w:cstheme="minorHAnsi"/>
          <w:sz w:val="24"/>
          <w:szCs w:val="24"/>
        </w:rPr>
      </w:pPr>
    </w:p>
    <w:p w14:paraId="43C3C509" w14:textId="733DD561" w:rsidR="001F5B8E" w:rsidRDefault="00A969D2"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Much of the corporation’s work has focused on </w:t>
      </w:r>
      <w:r w:rsidR="00646C06">
        <w:rPr>
          <w:rFonts w:asciiTheme="minorHAnsi" w:eastAsiaTheme="minorEastAsia" w:hAnsiTheme="minorHAnsi" w:cstheme="minorHAnsi"/>
          <w:sz w:val="24"/>
          <w:szCs w:val="24"/>
        </w:rPr>
        <w:t xml:space="preserve">commercial and </w:t>
      </w:r>
      <w:r>
        <w:rPr>
          <w:rFonts w:asciiTheme="minorHAnsi" w:eastAsiaTheme="minorEastAsia" w:hAnsiTheme="minorHAnsi" w:cstheme="minorHAnsi"/>
          <w:sz w:val="24"/>
          <w:szCs w:val="24"/>
        </w:rPr>
        <w:t xml:space="preserve">marketing efforts, and </w:t>
      </w:r>
      <w:r w:rsidR="001F5B8E">
        <w:rPr>
          <w:rFonts w:asciiTheme="minorHAnsi" w:eastAsiaTheme="minorEastAsia" w:hAnsiTheme="minorHAnsi" w:cstheme="minorHAnsi"/>
          <w:sz w:val="24"/>
          <w:szCs w:val="24"/>
        </w:rPr>
        <w:t>staff is scheduled to participate in gas and infrastructure conferences in Houston and Montreal next month, according to the AGDC website, which does not show a date for the next board of directors meeting since the last one in December.</w:t>
      </w:r>
    </w:p>
    <w:p w14:paraId="486ACADA" w14:textId="77777777" w:rsidR="001F5B8E" w:rsidRDefault="001F5B8E" w:rsidP="00A45888">
      <w:pPr>
        <w:spacing w:after="0"/>
        <w:rPr>
          <w:rFonts w:asciiTheme="minorHAnsi" w:eastAsiaTheme="minorEastAsia" w:hAnsiTheme="minorHAnsi" w:cstheme="minorHAnsi"/>
          <w:sz w:val="24"/>
          <w:szCs w:val="24"/>
        </w:rPr>
      </w:pPr>
    </w:p>
    <w:p w14:paraId="09FEE6C6" w14:textId="3700A475" w:rsidR="00E462AB" w:rsidRPr="00E462AB" w:rsidRDefault="00E462AB" w:rsidP="00A45888">
      <w:pPr>
        <w:spacing w:after="0"/>
        <w:rPr>
          <w:rFonts w:asciiTheme="minorHAnsi" w:eastAsiaTheme="minorEastAsia" w:hAnsiTheme="minorHAnsi" w:cstheme="minorHAnsi"/>
          <w:b/>
          <w:sz w:val="24"/>
          <w:szCs w:val="24"/>
        </w:rPr>
      </w:pPr>
      <w:r w:rsidRPr="00E462AB">
        <w:rPr>
          <w:rFonts w:asciiTheme="minorHAnsi" w:eastAsiaTheme="minorEastAsia" w:hAnsiTheme="minorHAnsi" w:cstheme="minorHAnsi"/>
          <w:b/>
          <w:sz w:val="24"/>
          <w:szCs w:val="24"/>
        </w:rPr>
        <w:t>FERC WANTS ANALYSIS OF PORT MACKENZIE, VALDEZ OPTIONS</w:t>
      </w:r>
    </w:p>
    <w:p w14:paraId="7747A5FC" w14:textId="77777777" w:rsidR="00E462AB" w:rsidRDefault="00E462AB" w:rsidP="00A45888">
      <w:pPr>
        <w:spacing w:after="0"/>
        <w:rPr>
          <w:rFonts w:asciiTheme="minorHAnsi" w:eastAsiaTheme="minorEastAsia" w:hAnsiTheme="minorHAnsi" w:cstheme="minorHAnsi"/>
          <w:sz w:val="24"/>
          <w:szCs w:val="24"/>
        </w:rPr>
      </w:pPr>
    </w:p>
    <w:p w14:paraId="43F4EC34" w14:textId="7A0563F0" w:rsidR="00393F49" w:rsidRDefault="00393F49"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Among the </w:t>
      </w:r>
      <w:r w:rsidR="00A969D2">
        <w:rPr>
          <w:rFonts w:asciiTheme="minorHAnsi" w:eastAsiaTheme="minorEastAsia" w:hAnsiTheme="minorHAnsi" w:cstheme="minorHAnsi"/>
          <w:sz w:val="24"/>
          <w:szCs w:val="24"/>
        </w:rPr>
        <w:t>additional</w:t>
      </w:r>
      <w:r>
        <w:rPr>
          <w:rFonts w:asciiTheme="minorHAnsi" w:eastAsiaTheme="minorEastAsia" w:hAnsiTheme="minorHAnsi" w:cstheme="minorHAnsi"/>
          <w:sz w:val="24"/>
          <w:szCs w:val="24"/>
        </w:rPr>
        <w:t xml:space="preserve"> information requested by FERC</w:t>
      </w:r>
      <w:r w:rsidR="00590892">
        <w:rPr>
          <w:rFonts w:asciiTheme="minorHAnsi" w:eastAsiaTheme="minorEastAsia" w:hAnsiTheme="minorHAnsi" w:cstheme="minorHAnsi"/>
          <w:sz w:val="24"/>
          <w:szCs w:val="24"/>
        </w:rPr>
        <w:t xml:space="preserve"> are further analysis of alternative locations for the LNG plant. </w:t>
      </w:r>
      <w:r w:rsidR="00431397">
        <w:rPr>
          <w:rFonts w:asciiTheme="minorHAnsi" w:eastAsiaTheme="minorEastAsia" w:hAnsiTheme="minorHAnsi" w:cstheme="minorHAnsi"/>
          <w:sz w:val="24"/>
          <w:szCs w:val="24"/>
        </w:rPr>
        <w:t xml:space="preserve"> </w:t>
      </w:r>
      <w:r w:rsidR="00590892">
        <w:rPr>
          <w:rFonts w:asciiTheme="minorHAnsi" w:eastAsiaTheme="minorEastAsia" w:hAnsiTheme="minorHAnsi" w:cstheme="minorHAnsi"/>
          <w:sz w:val="24"/>
          <w:szCs w:val="24"/>
        </w:rPr>
        <w:t>An EIS must consider project options to determine the “least environmentally damaging practicable alternative.”</w:t>
      </w:r>
    </w:p>
    <w:p w14:paraId="26166D05" w14:textId="77777777" w:rsidR="00393F49" w:rsidRDefault="00393F49" w:rsidP="00A45888">
      <w:pPr>
        <w:spacing w:after="0"/>
        <w:rPr>
          <w:rFonts w:asciiTheme="minorHAnsi" w:eastAsiaTheme="minorEastAsia" w:hAnsiTheme="minorHAnsi" w:cstheme="minorHAnsi"/>
          <w:sz w:val="24"/>
          <w:szCs w:val="24"/>
        </w:rPr>
      </w:pPr>
    </w:p>
    <w:p w14:paraId="5B4E805B" w14:textId="3BD7E5B3" w:rsidR="00590892" w:rsidRDefault="00A969D2"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FERC asked for an</w:t>
      </w:r>
      <w:r w:rsidR="00F21229">
        <w:rPr>
          <w:rFonts w:asciiTheme="minorHAnsi" w:eastAsiaTheme="minorEastAsia" w:hAnsiTheme="minorHAnsi" w:cstheme="minorHAnsi"/>
          <w:sz w:val="24"/>
          <w:szCs w:val="24"/>
        </w:rPr>
        <w:t xml:space="preserve"> environmental and engineering analysis of Port MacKenzie as an alternative site to Nikiski for the LNG plant and marine terminal, including an analysis of the pipeline route to the site across from Anchorage in Upper Cook Inlet. </w:t>
      </w:r>
      <w:r w:rsidR="00431397">
        <w:rPr>
          <w:rFonts w:asciiTheme="minorHAnsi" w:eastAsiaTheme="minorEastAsia" w:hAnsiTheme="minorHAnsi" w:cstheme="minorHAnsi"/>
          <w:sz w:val="24"/>
          <w:szCs w:val="24"/>
        </w:rPr>
        <w:t xml:space="preserve"> </w:t>
      </w:r>
      <w:r w:rsidR="00F21229">
        <w:rPr>
          <w:rFonts w:asciiTheme="minorHAnsi" w:eastAsiaTheme="minorEastAsia" w:hAnsiTheme="minorHAnsi" w:cstheme="minorHAnsi"/>
          <w:sz w:val="24"/>
          <w:szCs w:val="24"/>
        </w:rPr>
        <w:t>The Matanuska-</w:t>
      </w:r>
      <w:r w:rsidR="00C85988">
        <w:rPr>
          <w:rFonts w:asciiTheme="minorHAnsi" w:eastAsiaTheme="minorEastAsia" w:hAnsiTheme="minorHAnsi" w:cstheme="minorHAnsi"/>
          <w:sz w:val="24"/>
          <w:szCs w:val="24"/>
        </w:rPr>
        <w:t>Susitna</w:t>
      </w:r>
      <w:r w:rsidR="00F21229">
        <w:rPr>
          <w:rFonts w:asciiTheme="minorHAnsi" w:eastAsiaTheme="minorEastAsia" w:hAnsiTheme="minorHAnsi" w:cstheme="minorHAnsi"/>
          <w:sz w:val="24"/>
          <w:szCs w:val="24"/>
        </w:rPr>
        <w:t xml:space="preserve"> Borough, which owns the port, filed a complaint and motion with FERC in January, asserting that AGDC, and the North Slope producers before the state took control, failed to adequately consider Port MacKenzie as a preferred site to Nikiski.</w:t>
      </w:r>
    </w:p>
    <w:p w14:paraId="58EDA75A" w14:textId="77777777" w:rsidR="00590892" w:rsidRDefault="00590892" w:rsidP="00A45888">
      <w:pPr>
        <w:spacing w:after="0"/>
        <w:rPr>
          <w:rFonts w:asciiTheme="minorHAnsi" w:eastAsiaTheme="minorEastAsia" w:hAnsiTheme="minorHAnsi" w:cstheme="minorHAnsi"/>
          <w:sz w:val="24"/>
          <w:szCs w:val="24"/>
        </w:rPr>
      </w:pPr>
    </w:p>
    <w:p w14:paraId="45612265" w14:textId="6493D313" w:rsidR="00F21229" w:rsidRDefault="00F21229" w:rsidP="00A45888">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The </w:t>
      </w:r>
      <w:r>
        <w:rPr>
          <w:rFonts w:asciiTheme="minorHAnsi" w:eastAsiaTheme="minorEastAsia" w:hAnsiTheme="minorHAnsi" w:cstheme="minorHAnsi"/>
          <w:sz w:val="24"/>
          <w:szCs w:val="24"/>
        </w:rPr>
        <w:t>b</w:t>
      </w:r>
      <w:r w:rsidRPr="001B29CB">
        <w:rPr>
          <w:rFonts w:asciiTheme="minorHAnsi" w:eastAsiaTheme="minorEastAsia" w:hAnsiTheme="minorHAnsi" w:cstheme="minorHAnsi"/>
          <w:sz w:val="24"/>
          <w:szCs w:val="24"/>
        </w:rPr>
        <w:t>orough allege</w:t>
      </w:r>
      <w:r>
        <w:rPr>
          <w:rFonts w:asciiTheme="minorHAnsi" w:eastAsiaTheme="minorEastAsia" w:hAnsiTheme="minorHAnsi" w:cstheme="minorHAnsi"/>
          <w:sz w:val="24"/>
          <w:szCs w:val="24"/>
        </w:rPr>
        <w:t>d</w:t>
      </w:r>
      <w:r w:rsidRPr="001B29CB">
        <w:rPr>
          <w:rFonts w:asciiTheme="minorHAnsi" w:eastAsiaTheme="minorEastAsia" w:hAnsiTheme="minorHAnsi" w:cstheme="minorHAnsi"/>
          <w:sz w:val="24"/>
          <w:szCs w:val="24"/>
        </w:rPr>
        <w:t xml:space="preserve"> </w:t>
      </w:r>
      <w:r w:rsidR="00A969D2">
        <w:rPr>
          <w:rFonts w:asciiTheme="minorHAnsi" w:eastAsiaTheme="minorEastAsia" w:hAnsiTheme="minorHAnsi" w:cstheme="minorHAnsi"/>
          <w:sz w:val="24"/>
          <w:szCs w:val="24"/>
        </w:rPr>
        <w:t xml:space="preserve">that </w:t>
      </w:r>
      <w:r w:rsidRPr="001B29CB">
        <w:rPr>
          <w:rFonts w:asciiTheme="minorHAnsi" w:eastAsiaTheme="minorEastAsia" w:hAnsiTheme="minorHAnsi" w:cstheme="minorHAnsi"/>
          <w:sz w:val="24"/>
          <w:szCs w:val="24"/>
        </w:rPr>
        <w:t xml:space="preserve">the Alaska LNG project may have violated the National Environmental Policy Act and federal Clean Water Act by “improperly and intentionally excluding” the borough’s Port MacKenzie as a “reasonable alternative” for the </w:t>
      </w:r>
      <w:r>
        <w:rPr>
          <w:rFonts w:asciiTheme="minorHAnsi" w:eastAsiaTheme="minorEastAsia" w:hAnsiTheme="minorHAnsi" w:cstheme="minorHAnsi"/>
          <w:sz w:val="24"/>
          <w:szCs w:val="24"/>
        </w:rPr>
        <w:t>LNG</w:t>
      </w:r>
      <w:r w:rsidRPr="001B29CB">
        <w:rPr>
          <w:rFonts w:asciiTheme="minorHAnsi" w:eastAsiaTheme="minorEastAsia" w:hAnsiTheme="minorHAnsi" w:cstheme="minorHAnsi"/>
          <w:sz w:val="24"/>
          <w:szCs w:val="24"/>
        </w:rPr>
        <w:t xml:space="preserve"> plant</w:t>
      </w:r>
      <w:r>
        <w:rPr>
          <w:rFonts w:asciiTheme="minorHAnsi" w:eastAsiaTheme="minorEastAsia" w:hAnsiTheme="minorHAnsi" w:cstheme="minorHAnsi"/>
          <w:sz w:val="24"/>
          <w:szCs w:val="24"/>
        </w:rPr>
        <w:t>.</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The producer</w:t>
      </w:r>
      <w:r w:rsidR="00A969D2">
        <w:rPr>
          <w:rFonts w:asciiTheme="minorHAnsi" w:eastAsiaTheme="minorEastAsia" w:hAnsiTheme="minorHAnsi" w:cstheme="minorHAnsi"/>
          <w:sz w:val="24"/>
          <w:szCs w:val="24"/>
        </w:rPr>
        <w:t>-led team</w:t>
      </w:r>
      <w:r>
        <w:rPr>
          <w:rFonts w:asciiTheme="minorHAnsi" w:eastAsiaTheme="minorEastAsia" w:hAnsiTheme="minorHAnsi" w:cstheme="minorHAnsi"/>
          <w:sz w:val="24"/>
          <w:szCs w:val="24"/>
        </w:rPr>
        <w:t xml:space="preserve"> selected Nikiski in 2013</w:t>
      </w:r>
      <w:r w:rsidR="00BF41E1">
        <w:rPr>
          <w:rFonts w:asciiTheme="minorHAnsi" w:eastAsiaTheme="minorEastAsia" w:hAnsiTheme="minorHAnsi" w:cstheme="minorHAnsi"/>
          <w:sz w:val="24"/>
          <w:szCs w:val="24"/>
        </w:rPr>
        <w:t xml:space="preserve"> after a lengthy review of more than two dozen options</w:t>
      </w:r>
      <w:r>
        <w:rPr>
          <w:rFonts w:asciiTheme="minorHAnsi" w:eastAsiaTheme="minorEastAsia" w:hAnsiTheme="minorHAnsi" w:cstheme="minorHAnsi"/>
          <w:sz w:val="24"/>
          <w:szCs w:val="24"/>
        </w:rPr>
        <w:t>.</w:t>
      </w:r>
    </w:p>
    <w:p w14:paraId="3A7164C4" w14:textId="77777777" w:rsidR="00F21229" w:rsidRDefault="00F21229" w:rsidP="00A45888">
      <w:pPr>
        <w:spacing w:after="0"/>
        <w:rPr>
          <w:rFonts w:asciiTheme="minorHAnsi" w:eastAsiaTheme="minorEastAsia" w:hAnsiTheme="minorHAnsi" w:cstheme="minorHAnsi"/>
          <w:sz w:val="24"/>
          <w:szCs w:val="24"/>
        </w:rPr>
      </w:pPr>
    </w:p>
    <w:p w14:paraId="79DC77B7" w14:textId="4FC115EC" w:rsidR="00590892" w:rsidRPr="00590892" w:rsidRDefault="00A969D2" w:rsidP="00590892">
      <w:pPr>
        <w:spacing w:after="0"/>
        <w:rPr>
          <w:rFonts w:asciiTheme="minorHAnsi" w:hAnsiTheme="minorHAnsi" w:cstheme="minorHAnsi"/>
          <w:sz w:val="24"/>
          <w:szCs w:val="24"/>
        </w:rPr>
      </w:pPr>
      <w:r>
        <w:rPr>
          <w:rFonts w:asciiTheme="minorHAnsi" w:eastAsiaTheme="minorEastAsia" w:hAnsiTheme="minorHAnsi" w:cstheme="minorHAnsi"/>
          <w:sz w:val="24"/>
          <w:szCs w:val="24"/>
        </w:rPr>
        <w:lastRenderedPageBreak/>
        <w:t>FERC also instructed AGDC that it needs to prepare</w:t>
      </w:r>
      <w:r w:rsidR="00590892">
        <w:rPr>
          <w:rFonts w:asciiTheme="minorHAnsi" w:eastAsiaTheme="minorEastAsia" w:hAnsiTheme="minorHAnsi" w:cstheme="minorHAnsi"/>
          <w:sz w:val="24"/>
          <w:szCs w:val="24"/>
        </w:rPr>
        <w:t xml:space="preserve"> a</w:t>
      </w:r>
      <w:r w:rsidR="00F21229">
        <w:rPr>
          <w:rFonts w:asciiTheme="minorHAnsi" w:eastAsiaTheme="minorEastAsia" w:hAnsiTheme="minorHAnsi" w:cstheme="minorHAnsi"/>
          <w:sz w:val="24"/>
          <w:szCs w:val="24"/>
        </w:rPr>
        <w:t>n environmental and engineering analysis of the pipeline route to Valdez</w:t>
      </w:r>
      <w:r>
        <w:rPr>
          <w:rFonts w:asciiTheme="minorHAnsi" w:eastAsiaTheme="minorEastAsia" w:hAnsiTheme="minorHAnsi" w:cstheme="minorHAnsi"/>
          <w:sz w:val="24"/>
          <w:szCs w:val="24"/>
        </w:rPr>
        <w:t xml:space="preserve">. </w:t>
      </w:r>
      <w:r w:rsidR="00431397">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S</w:t>
      </w:r>
      <w:r w:rsidR="00F21229">
        <w:rPr>
          <w:rFonts w:asciiTheme="minorHAnsi" w:eastAsiaTheme="minorEastAsia" w:hAnsiTheme="minorHAnsi" w:cstheme="minorHAnsi"/>
          <w:sz w:val="24"/>
          <w:szCs w:val="24"/>
        </w:rPr>
        <w:t xml:space="preserve">imilar to the Matanuska-Susitna Borough, </w:t>
      </w:r>
      <w:r>
        <w:rPr>
          <w:rFonts w:asciiTheme="minorHAnsi" w:eastAsiaTheme="minorEastAsia" w:hAnsiTheme="minorHAnsi" w:cstheme="minorHAnsi"/>
          <w:sz w:val="24"/>
          <w:szCs w:val="24"/>
        </w:rPr>
        <w:t xml:space="preserve">the city of Valdez </w:t>
      </w:r>
      <w:r w:rsidR="00F21229">
        <w:rPr>
          <w:rFonts w:asciiTheme="minorHAnsi" w:eastAsiaTheme="minorEastAsia" w:hAnsiTheme="minorHAnsi" w:cstheme="minorHAnsi"/>
          <w:sz w:val="24"/>
          <w:szCs w:val="24"/>
        </w:rPr>
        <w:t xml:space="preserve">has filed with FERC to </w:t>
      </w:r>
      <w:r w:rsidR="00590892">
        <w:rPr>
          <w:rFonts w:asciiTheme="minorHAnsi" w:eastAsiaTheme="minorEastAsia" w:hAnsiTheme="minorHAnsi" w:cstheme="minorHAnsi"/>
          <w:sz w:val="24"/>
          <w:szCs w:val="24"/>
        </w:rPr>
        <w:t>argue that their community would be a better location than Nikiski for the LNG plant.</w:t>
      </w:r>
      <w:r w:rsidR="00590892" w:rsidRPr="00590892">
        <w:rPr>
          <w:rFonts w:asciiTheme="minorHAnsi" w:hAnsiTheme="minorHAnsi" w:cstheme="minorHAnsi"/>
          <w:sz w:val="24"/>
          <w:szCs w:val="24"/>
        </w:rPr>
        <w:t xml:space="preserve"> </w:t>
      </w:r>
      <w:r w:rsidR="00431397">
        <w:rPr>
          <w:rFonts w:asciiTheme="minorHAnsi" w:hAnsiTheme="minorHAnsi" w:cstheme="minorHAnsi"/>
          <w:sz w:val="24"/>
          <w:szCs w:val="24"/>
        </w:rPr>
        <w:t xml:space="preserve"> </w:t>
      </w:r>
      <w:r w:rsidR="00590892" w:rsidRPr="001B29CB">
        <w:rPr>
          <w:rFonts w:asciiTheme="minorHAnsi" w:hAnsiTheme="minorHAnsi" w:cstheme="minorHAnsi"/>
          <w:sz w:val="24"/>
          <w:szCs w:val="24"/>
        </w:rPr>
        <w:t>The city of Valdez in 2015 and 2017</w:t>
      </w:r>
      <w:r w:rsidR="00590892">
        <w:rPr>
          <w:rFonts w:asciiTheme="minorHAnsi" w:hAnsiTheme="minorHAnsi" w:cstheme="minorHAnsi"/>
          <w:sz w:val="24"/>
          <w:szCs w:val="24"/>
        </w:rPr>
        <w:t xml:space="preserve"> filings with FER</w:t>
      </w:r>
      <w:r w:rsidR="00590892" w:rsidRPr="001B29CB">
        <w:rPr>
          <w:rFonts w:asciiTheme="minorHAnsi" w:hAnsiTheme="minorHAnsi" w:cstheme="minorHAnsi"/>
          <w:sz w:val="24"/>
          <w:szCs w:val="24"/>
        </w:rPr>
        <w:t>C</w:t>
      </w:r>
      <w:r w:rsidR="00590892">
        <w:rPr>
          <w:rFonts w:asciiTheme="minorHAnsi" w:hAnsiTheme="minorHAnsi" w:cstheme="minorHAnsi"/>
          <w:sz w:val="24"/>
          <w:szCs w:val="24"/>
        </w:rPr>
        <w:t xml:space="preserve"> </w:t>
      </w:r>
      <w:r w:rsidR="00590892" w:rsidRPr="001B29CB">
        <w:rPr>
          <w:rFonts w:asciiTheme="minorHAnsi" w:hAnsiTheme="minorHAnsi" w:cstheme="minorHAnsi"/>
          <w:sz w:val="24"/>
          <w:szCs w:val="24"/>
        </w:rPr>
        <w:t>challeng</w:t>
      </w:r>
      <w:r w:rsidR="00590892">
        <w:rPr>
          <w:rFonts w:asciiTheme="minorHAnsi" w:hAnsiTheme="minorHAnsi" w:cstheme="minorHAnsi"/>
          <w:sz w:val="24"/>
          <w:szCs w:val="24"/>
        </w:rPr>
        <w:t>ed</w:t>
      </w:r>
      <w:r w:rsidR="00590892" w:rsidRPr="001B29CB">
        <w:rPr>
          <w:rFonts w:asciiTheme="minorHAnsi" w:hAnsiTheme="minorHAnsi" w:cstheme="minorHAnsi"/>
          <w:sz w:val="24"/>
          <w:szCs w:val="24"/>
        </w:rPr>
        <w:t xml:space="preserve"> the selection of Nikiski</w:t>
      </w:r>
      <w:r w:rsidR="00590892">
        <w:rPr>
          <w:rFonts w:asciiTheme="minorHAnsi" w:hAnsiTheme="minorHAnsi" w:cstheme="minorHAnsi"/>
          <w:sz w:val="24"/>
          <w:szCs w:val="24"/>
        </w:rPr>
        <w:t>.</w:t>
      </w:r>
    </w:p>
    <w:p w14:paraId="2B339882" w14:textId="77777777" w:rsidR="00590892" w:rsidRDefault="00590892" w:rsidP="00A45888">
      <w:pPr>
        <w:spacing w:after="0"/>
        <w:rPr>
          <w:rFonts w:asciiTheme="minorHAnsi" w:eastAsiaTheme="minorEastAsia" w:hAnsiTheme="minorHAnsi" w:cstheme="minorHAnsi"/>
          <w:sz w:val="24"/>
          <w:szCs w:val="24"/>
        </w:rPr>
      </w:pPr>
    </w:p>
    <w:p w14:paraId="756E7CE1" w14:textId="66820EEC" w:rsidR="00590892" w:rsidRDefault="00590892" w:rsidP="00A45888">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Other information requested by FERC on Feb. 15 includes:</w:t>
      </w:r>
    </w:p>
    <w:p w14:paraId="268362C8" w14:textId="77777777" w:rsidR="00590892" w:rsidRDefault="00590892" w:rsidP="00A45888">
      <w:pPr>
        <w:spacing w:after="0"/>
        <w:rPr>
          <w:rFonts w:asciiTheme="minorHAnsi" w:eastAsiaTheme="minorEastAsia" w:hAnsiTheme="minorHAnsi" w:cstheme="minorHAnsi"/>
          <w:sz w:val="24"/>
          <w:szCs w:val="24"/>
        </w:rPr>
      </w:pPr>
    </w:p>
    <w:p w14:paraId="2AB9B2C9" w14:textId="3D72E3BD" w:rsidR="009864E9" w:rsidRPr="00A969D2" w:rsidRDefault="009864E9" w:rsidP="00A969D2">
      <w:pPr>
        <w:pStyle w:val="ListParagraph"/>
        <w:numPr>
          <w:ilvl w:val="0"/>
          <w:numId w:val="6"/>
        </w:numPr>
        <w:spacing w:after="0"/>
        <w:rPr>
          <w:rFonts w:asciiTheme="minorHAnsi" w:eastAsiaTheme="minorEastAsia" w:hAnsiTheme="minorHAnsi" w:cstheme="minorHAnsi"/>
          <w:sz w:val="24"/>
          <w:szCs w:val="24"/>
        </w:rPr>
      </w:pPr>
      <w:r w:rsidRPr="00A969D2">
        <w:rPr>
          <w:rFonts w:asciiTheme="minorHAnsi" w:eastAsiaTheme="minorEastAsia" w:hAnsiTheme="minorHAnsi" w:cstheme="minorHAnsi"/>
          <w:sz w:val="24"/>
          <w:szCs w:val="24"/>
        </w:rPr>
        <w:t xml:space="preserve">An update on plans and additional details for the proposed relocation of several miles of the state-maintained Kenai Spur Highway to make room for the liquefaction plant and marine terminal in Nikiski. </w:t>
      </w:r>
      <w:r w:rsidR="00431397">
        <w:rPr>
          <w:rFonts w:asciiTheme="minorHAnsi" w:eastAsiaTheme="minorEastAsia" w:hAnsiTheme="minorHAnsi" w:cstheme="minorHAnsi"/>
          <w:sz w:val="24"/>
          <w:szCs w:val="24"/>
        </w:rPr>
        <w:t xml:space="preserve"> </w:t>
      </w:r>
      <w:r w:rsidRPr="00A969D2">
        <w:rPr>
          <w:rFonts w:asciiTheme="minorHAnsi" w:eastAsiaTheme="minorEastAsia" w:hAnsiTheme="minorHAnsi" w:cstheme="minorHAnsi"/>
          <w:sz w:val="24"/>
          <w:szCs w:val="24"/>
        </w:rPr>
        <w:t>AGDC has said the highway must be moved before substantial construction at the site could begin.</w:t>
      </w:r>
      <w:r w:rsidR="00F21229" w:rsidRPr="00A969D2">
        <w:rPr>
          <w:rFonts w:asciiTheme="minorHAnsi" w:eastAsiaTheme="minorEastAsia" w:hAnsiTheme="minorHAnsi" w:cstheme="minorHAnsi"/>
          <w:sz w:val="24"/>
          <w:szCs w:val="24"/>
        </w:rPr>
        <w:t xml:space="preserve"> A final </w:t>
      </w:r>
      <w:r w:rsidR="00BF41E1">
        <w:rPr>
          <w:rFonts w:asciiTheme="minorHAnsi" w:eastAsiaTheme="minorEastAsia" w:hAnsiTheme="minorHAnsi" w:cstheme="minorHAnsi"/>
          <w:sz w:val="24"/>
          <w:szCs w:val="24"/>
        </w:rPr>
        <w:t xml:space="preserve">highway </w:t>
      </w:r>
      <w:r w:rsidR="00F21229" w:rsidRPr="00A969D2">
        <w:rPr>
          <w:rFonts w:asciiTheme="minorHAnsi" w:eastAsiaTheme="minorEastAsia" w:hAnsiTheme="minorHAnsi" w:cstheme="minorHAnsi"/>
          <w:sz w:val="24"/>
          <w:szCs w:val="24"/>
        </w:rPr>
        <w:t>route has not been selected, nor land acquired for the new right of way.</w:t>
      </w:r>
    </w:p>
    <w:p w14:paraId="310C83FD" w14:textId="77777777" w:rsidR="00F21229" w:rsidRDefault="00F21229" w:rsidP="00A45888">
      <w:pPr>
        <w:spacing w:after="0"/>
        <w:rPr>
          <w:rFonts w:asciiTheme="minorHAnsi" w:eastAsiaTheme="minorEastAsia" w:hAnsiTheme="minorHAnsi" w:cstheme="minorHAnsi"/>
          <w:sz w:val="24"/>
          <w:szCs w:val="24"/>
        </w:rPr>
      </w:pPr>
    </w:p>
    <w:p w14:paraId="483058E0" w14:textId="6C934A75" w:rsidR="00F21229" w:rsidRPr="00A969D2" w:rsidRDefault="00F21229" w:rsidP="00A969D2">
      <w:pPr>
        <w:pStyle w:val="ListParagraph"/>
        <w:numPr>
          <w:ilvl w:val="0"/>
          <w:numId w:val="6"/>
        </w:numPr>
        <w:spacing w:after="0"/>
        <w:rPr>
          <w:rFonts w:asciiTheme="minorHAnsi" w:eastAsiaTheme="minorEastAsia" w:hAnsiTheme="minorHAnsi" w:cstheme="minorHAnsi"/>
          <w:sz w:val="24"/>
          <w:szCs w:val="24"/>
        </w:rPr>
      </w:pPr>
      <w:r w:rsidRPr="00A969D2">
        <w:rPr>
          <w:rFonts w:asciiTheme="minorHAnsi" w:eastAsiaTheme="minorEastAsia" w:hAnsiTheme="minorHAnsi" w:cstheme="minorHAnsi"/>
          <w:sz w:val="24"/>
          <w:szCs w:val="24"/>
        </w:rPr>
        <w:t xml:space="preserve">Additional details on dredging required for the material offloading facility (dock and barge landing) that would be built </w:t>
      </w:r>
      <w:r w:rsidR="00BF41E1">
        <w:rPr>
          <w:rFonts w:asciiTheme="minorHAnsi" w:eastAsiaTheme="minorEastAsia" w:hAnsiTheme="minorHAnsi" w:cstheme="minorHAnsi"/>
          <w:sz w:val="24"/>
          <w:szCs w:val="24"/>
        </w:rPr>
        <w:t>at</w:t>
      </w:r>
      <w:r w:rsidRPr="00A969D2">
        <w:rPr>
          <w:rFonts w:asciiTheme="minorHAnsi" w:eastAsiaTheme="minorEastAsia" w:hAnsiTheme="minorHAnsi" w:cstheme="minorHAnsi"/>
          <w:sz w:val="24"/>
          <w:szCs w:val="24"/>
        </w:rPr>
        <w:t xml:space="preserve"> Nikiski for delivery of construction equipment and plant modules.</w:t>
      </w:r>
    </w:p>
    <w:p w14:paraId="01CE6CA9" w14:textId="77777777" w:rsidR="00F21229" w:rsidRDefault="00F21229" w:rsidP="00A45888">
      <w:pPr>
        <w:spacing w:after="0"/>
        <w:rPr>
          <w:rFonts w:asciiTheme="minorHAnsi" w:eastAsiaTheme="minorEastAsia" w:hAnsiTheme="minorHAnsi" w:cstheme="minorHAnsi"/>
          <w:sz w:val="24"/>
          <w:szCs w:val="24"/>
        </w:rPr>
      </w:pPr>
    </w:p>
    <w:p w14:paraId="672B365B" w14:textId="22D9D736" w:rsidR="00F21229" w:rsidRPr="00A969D2" w:rsidRDefault="00F21229" w:rsidP="00A969D2">
      <w:pPr>
        <w:pStyle w:val="ListParagraph"/>
        <w:numPr>
          <w:ilvl w:val="0"/>
          <w:numId w:val="6"/>
        </w:numPr>
        <w:spacing w:after="0"/>
        <w:rPr>
          <w:rFonts w:asciiTheme="minorHAnsi" w:eastAsiaTheme="minorEastAsia" w:hAnsiTheme="minorHAnsi" w:cstheme="minorHAnsi"/>
          <w:sz w:val="24"/>
          <w:szCs w:val="24"/>
        </w:rPr>
      </w:pPr>
      <w:r w:rsidRPr="00A969D2">
        <w:rPr>
          <w:rFonts w:asciiTheme="minorHAnsi" w:eastAsiaTheme="minorEastAsia" w:hAnsiTheme="minorHAnsi" w:cstheme="minorHAnsi"/>
          <w:sz w:val="24"/>
          <w:szCs w:val="24"/>
        </w:rPr>
        <w:t>A description of how a North Slope gravel mine would be constructed to supply the project with the material needed for work and construction pads</w:t>
      </w:r>
      <w:r w:rsidR="00590892" w:rsidRPr="00A969D2">
        <w:rPr>
          <w:rFonts w:asciiTheme="minorHAnsi" w:eastAsiaTheme="minorEastAsia" w:hAnsiTheme="minorHAnsi" w:cstheme="minorHAnsi"/>
          <w:sz w:val="24"/>
          <w:szCs w:val="24"/>
        </w:rPr>
        <w:t xml:space="preserve">, along with more </w:t>
      </w:r>
      <w:r w:rsidR="00A969D2">
        <w:rPr>
          <w:rFonts w:asciiTheme="minorHAnsi" w:eastAsiaTheme="minorEastAsia" w:hAnsiTheme="minorHAnsi" w:cstheme="minorHAnsi"/>
          <w:sz w:val="24"/>
          <w:szCs w:val="24"/>
        </w:rPr>
        <w:t xml:space="preserve">detailed </w:t>
      </w:r>
      <w:r w:rsidR="00590892" w:rsidRPr="00A969D2">
        <w:rPr>
          <w:rFonts w:asciiTheme="minorHAnsi" w:eastAsiaTheme="minorEastAsia" w:hAnsiTheme="minorHAnsi" w:cstheme="minorHAnsi"/>
          <w:sz w:val="24"/>
          <w:szCs w:val="24"/>
        </w:rPr>
        <w:t>information on the</w:t>
      </w:r>
      <w:r w:rsidR="00E462AB">
        <w:rPr>
          <w:rFonts w:asciiTheme="minorHAnsi" w:eastAsiaTheme="minorEastAsia" w:hAnsiTheme="minorHAnsi" w:cstheme="minorHAnsi"/>
          <w:sz w:val="24"/>
          <w:szCs w:val="24"/>
        </w:rPr>
        <w:t xml:space="preserve"> pipeline</w:t>
      </w:r>
      <w:r w:rsidR="00590892" w:rsidRPr="00A969D2">
        <w:rPr>
          <w:rFonts w:asciiTheme="minorHAnsi" w:eastAsiaTheme="minorEastAsia" w:hAnsiTheme="minorHAnsi" w:cstheme="minorHAnsi"/>
          <w:sz w:val="24"/>
          <w:szCs w:val="24"/>
        </w:rPr>
        <w:t xml:space="preserve"> project’s gravel needs.</w:t>
      </w:r>
    </w:p>
    <w:p w14:paraId="7FD12C48" w14:textId="77777777" w:rsidR="00F21229" w:rsidRDefault="00F21229" w:rsidP="00A45888">
      <w:pPr>
        <w:spacing w:after="0"/>
        <w:rPr>
          <w:rFonts w:asciiTheme="minorHAnsi" w:eastAsiaTheme="minorEastAsia" w:hAnsiTheme="minorHAnsi" w:cstheme="minorHAnsi"/>
          <w:sz w:val="24"/>
          <w:szCs w:val="24"/>
        </w:rPr>
      </w:pPr>
    </w:p>
    <w:p w14:paraId="6174FD70" w14:textId="7B979DCD" w:rsidR="006939B1" w:rsidRPr="00A969D2" w:rsidRDefault="00590892" w:rsidP="00A969D2">
      <w:pPr>
        <w:pStyle w:val="ListParagraph"/>
        <w:numPr>
          <w:ilvl w:val="0"/>
          <w:numId w:val="6"/>
        </w:numPr>
        <w:spacing w:after="0"/>
        <w:rPr>
          <w:rFonts w:asciiTheme="minorHAnsi" w:eastAsiaTheme="minorEastAsia" w:hAnsiTheme="minorHAnsi" w:cstheme="minorHAnsi"/>
          <w:sz w:val="24"/>
          <w:szCs w:val="24"/>
        </w:rPr>
      </w:pPr>
      <w:r w:rsidRPr="00A969D2">
        <w:rPr>
          <w:rFonts w:asciiTheme="minorHAnsi" w:eastAsiaTheme="minorEastAsia" w:hAnsiTheme="minorHAnsi" w:cstheme="minorHAnsi"/>
          <w:sz w:val="24"/>
          <w:szCs w:val="24"/>
        </w:rPr>
        <w:t xml:space="preserve">More information on the alternative of routing the gas pipeline for several miles through the Denali National Park and Preserve, including field studies of the park route. </w:t>
      </w:r>
      <w:r w:rsidR="00431397">
        <w:rPr>
          <w:rFonts w:asciiTheme="minorHAnsi" w:eastAsiaTheme="minorEastAsia" w:hAnsiTheme="minorHAnsi" w:cstheme="minorHAnsi"/>
          <w:sz w:val="24"/>
          <w:szCs w:val="24"/>
        </w:rPr>
        <w:t xml:space="preserve"> </w:t>
      </w:r>
      <w:r w:rsidRPr="00A969D2">
        <w:rPr>
          <w:rFonts w:asciiTheme="minorHAnsi" w:eastAsiaTheme="minorEastAsia" w:hAnsiTheme="minorHAnsi" w:cstheme="minorHAnsi"/>
          <w:sz w:val="24"/>
          <w:szCs w:val="24"/>
        </w:rPr>
        <w:t xml:space="preserve">AGDC has told FERC that although the park route is preferred to </w:t>
      </w:r>
      <w:r w:rsidR="00A969D2">
        <w:rPr>
          <w:rFonts w:asciiTheme="minorHAnsi" w:eastAsiaTheme="minorEastAsia" w:hAnsiTheme="minorHAnsi" w:cstheme="minorHAnsi"/>
          <w:sz w:val="24"/>
          <w:szCs w:val="24"/>
        </w:rPr>
        <w:t>burying</w:t>
      </w:r>
      <w:r w:rsidRPr="00A969D2">
        <w:rPr>
          <w:rFonts w:asciiTheme="minorHAnsi" w:eastAsiaTheme="minorEastAsia" w:hAnsiTheme="minorHAnsi" w:cstheme="minorHAnsi"/>
          <w:sz w:val="24"/>
          <w:szCs w:val="24"/>
        </w:rPr>
        <w:t xml:space="preserve"> the pipe in steep terrain outside the park boundaries, the state needs congressional approval for a change in federal law to make the park option viable from a permitting perspective.</w:t>
      </w:r>
    </w:p>
    <w:p w14:paraId="2B779365" w14:textId="6170D831" w:rsidR="00590892" w:rsidRDefault="00590892" w:rsidP="00A45888">
      <w:pPr>
        <w:spacing w:after="0"/>
        <w:rPr>
          <w:rFonts w:asciiTheme="minorHAnsi" w:eastAsiaTheme="minorEastAsia" w:hAnsiTheme="minorHAnsi" w:cstheme="minorHAnsi"/>
          <w:sz w:val="24"/>
          <w:szCs w:val="24"/>
        </w:rPr>
      </w:pPr>
    </w:p>
    <w:p w14:paraId="0481DD78" w14:textId="6F569907" w:rsidR="00C92E9A" w:rsidRPr="00A969D2" w:rsidRDefault="00C92E9A" w:rsidP="00A969D2">
      <w:pPr>
        <w:pStyle w:val="ListParagraph"/>
        <w:numPr>
          <w:ilvl w:val="0"/>
          <w:numId w:val="6"/>
        </w:numPr>
        <w:spacing w:after="0"/>
        <w:rPr>
          <w:rFonts w:asciiTheme="minorHAnsi" w:hAnsiTheme="minorHAnsi" w:cstheme="minorHAnsi"/>
          <w:sz w:val="24"/>
          <w:szCs w:val="24"/>
        </w:rPr>
      </w:pPr>
      <w:r w:rsidRPr="00A969D2">
        <w:rPr>
          <w:rFonts w:asciiTheme="minorHAnsi" w:hAnsiTheme="minorHAnsi" w:cstheme="minorHAnsi"/>
          <w:sz w:val="24"/>
          <w:szCs w:val="24"/>
        </w:rPr>
        <w:t xml:space="preserve">More information on plans </w:t>
      </w:r>
      <w:r w:rsidR="00A969D2">
        <w:rPr>
          <w:rFonts w:asciiTheme="minorHAnsi" w:hAnsiTheme="minorHAnsi" w:cstheme="minorHAnsi"/>
          <w:sz w:val="24"/>
          <w:szCs w:val="24"/>
        </w:rPr>
        <w:t>for pipeline crossings at</w:t>
      </w:r>
      <w:r w:rsidRPr="00A969D2">
        <w:rPr>
          <w:rFonts w:asciiTheme="minorHAnsi" w:hAnsiTheme="minorHAnsi" w:cstheme="minorHAnsi"/>
          <w:sz w:val="24"/>
          <w:szCs w:val="24"/>
        </w:rPr>
        <w:t xml:space="preserve"> waterways</w:t>
      </w:r>
      <w:r w:rsidR="00BF41E1">
        <w:rPr>
          <w:rFonts w:asciiTheme="minorHAnsi" w:hAnsiTheme="minorHAnsi" w:cstheme="minorHAnsi"/>
          <w:sz w:val="24"/>
          <w:szCs w:val="24"/>
        </w:rPr>
        <w:t xml:space="preserve"> (in particular, for the Point Thomson pipeline along the North Slope)</w:t>
      </w:r>
      <w:r w:rsidRPr="00A969D2">
        <w:rPr>
          <w:rFonts w:asciiTheme="minorHAnsi" w:hAnsiTheme="minorHAnsi" w:cstheme="minorHAnsi"/>
          <w:sz w:val="24"/>
          <w:szCs w:val="24"/>
        </w:rPr>
        <w:t>, construction work yards, the potential for pipeline construction and operation to thaw permafrost, and plans to fill wetland</w:t>
      </w:r>
      <w:r w:rsidR="00A969D2">
        <w:rPr>
          <w:rFonts w:asciiTheme="minorHAnsi" w:hAnsiTheme="minorHAnsi" w:cstheme="minorHAnsi"/>
          <w:sz w:val="24"/>
          <w:szCs w:val="24"/>
        </w:rPr>
        <w:t>s — in particular, the use of temporary gravel fill during construction</w:t>
      </w:r>
      <w:r w:rsidRPr="00A969D2">
        <w:rPr>
          <w:rFonts w:asciiTheme="minorHAnsi" w:hAnsiTheme="minorHAnsi" w:cstheme="minorHAnsi"/>
          <w:sz w:val="24"/>
          <w:szCs w:val="24"/>
        </w:rPr>
        <w:t>.</w:t>
      </w:r>
    </w:p>
    <w:p w14:paraId="0CCE8095" w14:textId="77777777" w:rsidR="00C92E9A" w:rsidRDefault="00C92E9A" w:rsidP="00A45888">
      <w:pPr>
        <w:spacing w:after="0"/>
        <w:rPr>
          <w:rFonts w:asciiTheme="minorHAnsi" w:hAnsiTheme="minorHAnsi" w:cstheme="minorHAnsi"/>
          <w:sz w:val="24"/>
          <w:szCs w:val="24"/>
        </w:rPr>
      </w:pPr>
    </w:p>
    <w:p w14:paraId="0A25CB70" w14:textId="0FD01769" w:rsidR="00A969D2" w:rsidRDefault="00C92E9A" w:rsidP="00A969D2">
      <w:pPr>
        <w:pStyle w:val="ListParagraph"/>
        <w:numPr>
          <w:ilvl w:val="0"/>
          <w:numId w:val="6"/>
        </w:numPr>
        <w:spacing w:after="0"/>
        <w:rPr>
          <w:rFonts w:asciiTheme="minorHAnsi" w:hAnsiTheme="minorHAnsi" w:cstheme="minorHAnsi"/>
          <w:sz w:val="24"/>
          <w:szCs w:val="24"/>
        </w:rPr>
      </w:pPr>
      <w:r w:rsidRPr="00A969D2">
        <w:rPr>
          <w:rFonts w:asciiTheme="minorHAnsi" w:hAnsiTheme="minorHAnsi" w:cstheme="minorHAnsi"/>
          <w:sz w:val="24"/>
          <w:szCs w:val="24"/>
        </w:rPr>
        <w:t xml:space="preserve">More details on impacts to schools that might gain students from the influx of construction workers; more details on the estimates of local residents </w:t>
      </w:r>
      <w:r w:rsidR="00E462AB">
        <w:rPr>
          <w:rFonts w:asciiTheme="minorHAnsi" w:hAnsiTheme="minorHAnsi" w:cstheme="minorHAnsi"/>
          <w:sz w:val="24"/>
          <w:szCs w:val="24"/>
        </w:rPr>
        <w:t xml:space="preserve">who </w:t>
      </w:r>
      <w:r w:rsidRPr="00A969D2">
        <w:rPr>
          <w:rFonts w:asciiTheme="minorHAnsi" w:hAnsiTheme="minorHAnsi" w:cstheme="minorHAnsi"/>
          <w:sz w:val="24"/>
          <w:szCs w:val="24"/>
        </w:rPr>
        <w:t>would be hired for construction and operation</w:t>
      </w:r>
      <w:r w:rsidR="00A969D2">
        <w:rPr>
          <w:rFonts w:asciiTheme="minorHAnsi" w:hAnsiTheme="minorHAnsi" w:cstheme="minorHAnsi"/>
          <w:sz w:val="24"/>
          <w:szCs w:val="24"/>
        </w:rPr>
        <w:t>;</w:t>
      </w:r>
      <w:r w:rsidRPr="00A969D2">
        <w:rPr>
          <w:rFonts w:asciiTheme="minorHAnsi" w:hAnsiTheme="minorHAnsi" w:cstheme="minorHAnsi"/>
          <w:sz w:val="24"/>
          <w:szCs w:val="24"/>
        </w:rPr>
        <w:t xml:space="preserve"> and more details on the estimated amount of goods and services that would be purchased for the project in Alaska</w:t>
      </w:r>
      <w:r w:rsidR="00A969D2">
        <w:rPr>
          <w:rFonts w:asciiTheme="minorHAnsi" w:hAnsiTheme="minorHAnsi" w:cstheme="minorHAnsi"/>
          <w:sz w:val="24"/>
          <w:szCs w:val="24"/>
        </w:rPr>
        <w:t>.</w:t>
      </w:r>
    </w:p>
    <w:p w14:paraId="7FA2C16A" w14:textId="77777777" w:rsidR="00A969D2" w:rsidRPr="00A969D2" w:rsidRDefault="00A969D2" w:rsidP="00A969D2">
      <w:pPr>
        <w:pStyle w:val="ListParagraph"/>
        <w:rPr>
          <w:rFonts w:asciiTheme="minorHAnsi" w:hAnsiTheme="minorHAnsi" w:cstheme="minorHAnsi"/>
          <w:sz w:val="24"/>
          <w:szCs w:val="24"/>
        </w:rPr>
      </w:pPr>
    </w:p>
    <w:p w14:paraId="68C7D134" w14:textId="77777777" w:rsidR="00A969D2" w:rsidRDefault="00A969D2" w:rsidP="00A969D2">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M</w:t>
      </w:r>
      <w:r w:rsidR="00C92E9A" w:rsidRPr="00A969D2">
        <w:rPr>
          <w:rFonts w:asciiTheme="minorHAnsi" w:hAnsiTheme="minorHAnsi" w:cstheme="minorHAnsi"/>
          <w:sz w:val="24"/>
          <w:szCs w:val="24"/>
        </w:rPr>
        <w:t>ore information on impact payments to cities and boroughs affected by the project, including information on the taxable or non-taxable status of the state-led project</w:t>
      </w:r>
      <w:r>
        <w:rPr>
          <w:rFonts w:asciiTheme="minorHAnsi" w:hAnsiTheme="minorHAnsi" w:cstheme="minorHAnsi"/>
          <w:sz w:val="24"/>
          <w:szCs w:val="24"/>
        </w:rPr>
        <w:t>.</w:t>
      </w:r>
    </w:p>
    <w:p w14:paraId="13FE24C1" w14:textId="77777777" w:rsidR="00A969D2" w:rsidRPr="00A969D2" w:rsidRDefault="00A969D2" w:rsidP="00A969D2">
      <w:pPr>
        <w:pStyle w:val="ListParagraph"/>
        <w:rPr>
          <w:rFonts w:asciiTheme="minorHAnsi" w:hAnsiTheme="minorHAnsi" w:cstheme="minorHAnsi"/>
          <w:sz w:val="24"/>
          <w:szCs w:val="24"/>
        </w:rPr>
      </w:pPr>
    </w:p>
    <w:p w14:paraId="602B9437" w14:textId="028DC101" w:rsidR="00840EA8" w:rsidRPr="00A969D2" w:rsidRDefault="00A969D2" w:rsidP="00A969D2">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M</w:t>
      </w:r>
      <w:r w:rsidR="00C85988" w:rsidRPr="00A969D2">
        <w:rPr>
          <w:rFonts w:asciiTheme="minorHAnsi" w:hAnsiTheme="minorHAnsi" w:cstheme="minorHAnsi"/>
          <w:sz w:val="24"/>
          <w:szCs w:val="24"/>
        </w:rPr>
        <w:t>ore information on road, rail</w:t>
      </w:r>
      <w:r w:rsidR="00431397">
        <w:rPr>
          <w:rFonts w:asciiTheme="minorHAnsi" w:hAnsiTheme="minorHAnsi" w:cstheme="minorHAnsi"/>
          <w:sz w:val="24"/>
          <w:szCs w:val="24"/>
        </w:rPr>
        <w:t>,</w:t>
      </w:r>
      <w:r w:rsidR="00C85988" w:rsidRPr="00A969D2">
        <w:rPr>
          <w:rFonts w:asciiTheme="minorHAnsi" w:hAnsiTheme="minorHAnsi" w:cstheme="minorHAnsi"/>
          <w:sz w:val="24"/>
          <w:szCs w:val="24"/>
        </w:rPr>
        <w:t xml:space="preserve"> and air transportation plans for construction materials and workers.</w:t>
      </w:r>
    </w:p>
    <w:p w14:paraId="534F9E5C" w14:textId="40BB92F9" w:rsidR="00C85988" w:rsidRDefault="00C85988" w:rsidP="00A45888">
      <w:pPr>
        <w:spacing w:after="0"/>
        <w:rPr>
          <w:rFonts w:asciiTheme="minorHAnsi" w:hAnsiTheme="minorHAnsi" w:cstheme="minorHAnsi"/>
          <w:sz w:val="24"/>
          <w:szCs w:val="24"/>
        </w:rPr>
      </w:pPr>
    </w:p>
    <w:p w14:paraId="77023950" w14:textId="707633C5" w:rsidR="00C85988" w:rsidRPr="00A969D2" w:rsidRDefault="00C85988" w:rsidP="00A969D2">
      <w:pPr>
        <w:pStyle w:val="ListParagraph"/>
        <w:numPr>
          <w:ilvl w:val="0"/>
          <w:numId w:val="6"/>
        </w:numPr>
        <w:spacing w:after="0"/>
        <w:rPr>
          <w:rFonts w:asciiTheme="minorHAnsi" w:hAnsiTheme="minorHAnsi" w:cstheme="minorHAnsi"/>
          <w:sz w:val="24"/>
          <w:szCs w:val="24"/>
        </w:rPr>
      </w:pPr>
      <w:r w:rsidRPr="00A969D2">
        <w:rPr>
          <w:rFonts w:asciiTheme="minorHAnsi" w:hAnsiTheme="minorHAnsi" w:cstheme="minorHAnsi"/>
          <w:sz w:val="24"/>
          <w:szCs w:val="24"/>
        </w:rPr>
        <w:t xml:space="preserve">And a cumulative impact analysis of the project’s </w:t>
      </w:r>
      <w:r w:rsidR="00E462AB">
        <w:rPr>
          <w:rFonts w:asciiTheme="minorHAnsi" w:hAnsiTheme="minorHAnsi" w:cstheme="minorHAnsi"/>
          <w:sz w:val="24"/>
          <w:szCs w:val="24"/>
        </w:rPr>
        <w:t>effects</w:t>
      </w:r>
      <w:r w:rsidRPr="00A969D2">
        <w:rPr>
          <w:rFonts w:asciiTheme="minorHAnsi" w:hAnsiTheme="minorHAnsi" w:cstheme="minorHAnsi"/>
          <w:sz w:val="24"/>
          <w:szCs w:val="24"/>
        </w:rPr>
        <w:t xml:space="preserve"> on subsistence harvests, wildlife habitat and increased competition from construction workers for the resources.</w:t>
      </w:r>
    </w:p>
    <w:p w14:paraId="6D806B4E" w14:textId="77777777" w:rsidR="00C92E9A" w:rsidRPr="001B29CB" w:rsidRDefault="00C92E9A" w:rsidP="00A45888">
      <w:pPr>
        <w:spacing w:after="0"/>
        <w:rPr>
          <w:rFonts w:asciiTheme="minorHAnsi" w:hAnsiTheme="minorHAnsi" w:cstheme="minorHAnsi"/>
          <w:sz w:val="24"/>
          <w:szCs w:val="24"/>
        </w:rPr>
      </w:pPr>
    </w:p>
    <w:sectPr w:rsidR="00C92E9A" w:rsidRPr="001B29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0D841" w14:textId="77777777" w:rsidR="00F13976" w:rsidRDefault="00F13976" w:rsidP="00F157F9">
      <w:pPr>
        <w:spacing w:after="0"/>
      </w:pPr>
      <w:r>
        <w:separator/>
      </w:r>
    </w:p>
  </w:endnote>
  <w:endnote w:type="continuationSeparator" w:id="0">
    <w:p w14:paraId="7D5E2A6E" w14:textId="77777777" w:rsidR="00F13976" w:rsidRDefault="00F13976" w:rsidP="00F15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79247"/>
      <w:docPartObj>
        <w:docPartGallery w:val="Page Numbers (Bottom of Page)"/>
        <w:docPartUnique/>
      </w:docPartObj>
    </w:sdtPr>
    <w:sdtEndPr>
      <w:rPr>
        <w:color w:val="7F7F7F" w:themeColor="background1" w:themeShade="7F"/>
        <w:spacing w:val="60"/>
      </w:rPr>
    </w:sdtEndPr>
    <w:sdtContent>
      <w:p w14:paraId="43A3C12D" w14:textId="11152CEA" w:rsidR="00D30D21" w:rsidRDefault="00D30D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1397">
          <w:rPr>
            <w:noProof/>
          </w:rPr>
          <w:t>2</w:t>
        </w:r>
        <w:r>
          <w:rPr>
            <w:noProof/>
          </w:rPr>
          <w:fldChar w:fldCharType="end"/>
        </w:r>
        <w:r>
          <w:t xml:space="preserve"> | </w:t>
        </w:r>
        <w:r>
          <w:rPr>
            <w:color w:val="7F7F7F" w:themeColor="background1" w:themeShade="7F"/>
            <w:spacing w:val="60"/>
          </w:rPr>
          <w:t>Page</w:t>
        </w:r>
      </w:p>
    </w:sdtContent>
  </w:sdt>
  <w:p w14:paraId="62918BC1" w14:textId="77777777" w:rsidR="00C92E9A" w:rsidRDefault="00C92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5C694" w14:textId="77777777" w:rsidR="00F13976" w:rsidRDefault="00F13976" w:rsidP="00F157F9">
      <w:pPr>
        <w:spacing w:after="0"/>
      </w:pPr>
      <w:r>
        <w:separator/>
      </w:r>
    </w:p>
  </w:footnote>
  <w:footnote w:type="continuationSeparator" w:id="0">
    <w:p w14:paraId="4C7A3A81" w14:textId="77777777" w:rsidR="00F13976" w:rsidRDefault="00F13976" w:rsidP="00F157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440"/>
    <w:multiLevelType w:val="hybridMultilevel"/>
    <w:tmpl w:val="CC46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024"/>
    <w:multiLevelType w:val="hybridMultilevel"/>
    <w:tmpl w:val="D16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560BE"/>
    <w:multiLevelType w:val="hybridMultilevel"/>
    <w:tmpl w:val="231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47804"/>
    <w:multiLevelType w:val="hybridMultilevel"/>
    <w:tmpl w:val="EEA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B06C1"/>
    <w:multiLevelType w:val="multilevel"/>
    <w:tmpl w:val="A83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44282"/>
    <w:multiLevelType w:val="multilevel"/>
    <w:tmpl w:val="489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7C"/>
    <w:rsid w:val="00012CF5"/>
    <w:rsid w:val="000238F4"/>
    <w:rsid w:val="00027344"/>
    <w:rsid w:val="00057E0B"/>
    <w:rsid w:val="000868C0"/>
    <w:rsid w:val="000872B0"/>
    <w:rsid w:val="000875BC"/>
    <w:rsid w:val="00090E5A"/>
    <w:rsid w:val="000A75B9"/>
    <w:rsid w:val="000B2593"/>
    <w:rsid w:val="000B4CE0"/>
    <w:rsid w:val="000B7B8E"/>
    <w:rsid w:val="000C0403"/>
    <w:rsid w:val="000E3349"/>
    <w:rsid w:val="000E388B"/>
    <w:rsid w:val="000E710D"/>
    <w:rsid w:val="000F47D9"/>
    <w:rsid w:val="00122565"/>
    <w:rsid w:val="00143D46"/>
    <w:rsid w:val="00177D2B"/>
    <w:rsid w:val="00193271"/>
    <w:rsid w:val="001A26A7"/>
    <w:rsid w:val="001A7E59"/>
    <w:rsid w:val="001B29CB"/>
    <w:rsid w:val="001B2AD0"/>
    <w:rsid w:val="001C0677"/>
    <w:rsid w:val="001C37B0"/>
    <w:rsid w:val="001D6B03"/>
    <w:rsid w:val="001F5B8E"/>
    <w:rsid w:val="00205101"/>
    <w:rsid w:val="00206A2F"/>
    <w:rsid w:val="00213CCB"/>
    <w:rsid w:val="002149C5"/>
    <w:rsid w:val="002162B8"/>
    <w:rsid w:val="002305C1"/>
    <w:rsid w:val="002360DB"/>
    <w:rsid w:val="00240988"/>
    <w:rsid w:val="002418BC"/>
    <w:rsid w:val="002637B9"/>
    <w:rsid w:val="002773A5"/>
    <w:rsid w:val="002834B1"/>
    <w:rsid w:val="0029694B"/>
    <w:rsid w:val="002A33DB"/>
    <w:rsid w:val="002B1558"/>
    <w:rsid w:val="002C04D6"/>
    <w:rsid w:val="002D27C5"/>
    <w:rsid w:val="002E0C69"/>
    <w:rsid w:val="002E1DA8"/>
    <w:rsid w:val="002E225A"/>
    <w:rsid w:val="002E6055"/>
    <w:rsid w:val="002F511F"/>
    <w:rsid w:val="00342225"/>
    <w:rsid w:val="00343EFE"/>
    <w:rsid w:val="003478FD"/>
    <w:rsid w:val="00353533"/>
    <w:rsid w:val="00355B23"/>
    <w:rsid w:val="00357686"/>
    <w:rsid w:val="003605A8"/>
    <w:rsid w:val="003655A1"/>
    <w:rsid w:val="00393F49"/>
    <w:rsid w:val="003B7962"/>
    <w:rsid w:val="003C1997"/>
    <w:rsid w:val="003C1CCA"/>
    <w:rsid w:val="003C6A98"/>
    <w:rsid w:val="003E436A"/>
    <w:rsid w:val="003F01A2"/>
    <w:rsid w:val="003F3B59"/>
    <w:rsid w:val="003F60AA"/>
    <w:rsid w:val="00400EC5"/>
    <w:rsid w:val="00421425"/>
    <w:rsid w:val="00431397"/>
    <w:rsid w:val="0045504A"/>
    <w:rsid w:val="00463DB1"/>
    <w:rsid w:val="00466EE0"/>
    <w:rsid w:val="00467A32"/>
    <w:rsid w:val="004A467E"/>
    <w:rsid w:val="004A7414"/>
    <w:rsid w:val="004B0690"/>
    <w:rsid w:val="004B2914"/>
    <w:rsid w:val="004C39A0"/>
    <w:rsid w:val="004D38E7"/>
    <w:rsid w:val="004D54FC"/>
    <w:rsid w:val="004E026C"/>
    <w:rsid w:val="004E67F4"/>
    <w:rsid w:val="004F5DEE"/>
    <w:rsid w:val="00501E6B"/>
    <w:rsid w:val="0050659F"/>
    <w:rsid w:val="005067C8"/>
    <w:rsid w:val="00511D7B"/>
    <w:rsid w:val="005224C0"/>
    <w:rsid w:val="00523263"/>
    <w:rsid w:val="00530F02"/>
    <w:rsid w:val="0053399B"/>
    <w:rsid w:val="00541EED"/>
    <w:rsid w:val="00550B72"/>
    <w:rsid w:val="00570081"/>
    <w:rsid w:val="0057008F"/>
    <w:rsid w:val="00573FAE"/>
    <w:rsid w:val="0058092F"/>
    <w:rsid w:val="00582E11"/>
    <w:rsid w:val="00583BB5"/>
    <w:rsid w:val="00590892"/>
    <w:rsid w:val="00594E07"/>
    <w:rsid w:val="00596149"/>
    <w:rsid w:val="005A6C2D"/>
    <w:rsid w:val="005D46A7"/>
    <w:rsid w:val="005D6BB1"/>
    <w:rsid w:val="005F4B9B"/>
    <w:rsid w:val="005F7859"/>
    <w:rsid w:val="0060136E"/>
    <w:rsid w:val="006126EC"/>
    <w:rsid w:val="0061525F"/>
    <w:rsid w:val="00623843"/>
    <w:rsid w:val="0064150A"/>
    <w:rsid w:val="00641EFA"/>
    <w:rsid w:val="00644654"/>
    <w:rsid w:val="00646C06"/>
    <w:rsid w:val="00647348"/>
    <w:rsid w:val="00647A1E"/>
    <w:rsid w:val="0067464A"/>
    <w:rsid w:val="00676756"/>
    <w:rsid w:val="00685B69"/>
    <w:rsid w:val="0069252E"/>
    <w:rsid w:val="006939B1"/>
    <w:rsid w:val="006E003F"/>
    <w:rsid w:val="006E01B7"/>
    <w:rsid w:val="006E1F8A"/>
    <w:rsid w:val="006F100B"/>
    <w:rsid w:val="006F617A"/>
    <w:rsid w:val="006F6662"/>
    <w:rsid w:val="00702675"/>
    <w:rsid w:val="00714281"/>
    <w:rsid w:val="0072183F"/>
    <w:rsid w:val="00724FAE"/>
    <w:rsid w:val="00724FC2"/>
    <w:rsid w:val="0072629B"/>
    <w:rsid w:val="007421B3"/>
    <w:rsid w:val="007441AA"/>
    <w:rsid w:val="00746FC6"/>
    <w:rsid w:val="0075359F"/>
    <w:rsid w:val="00771AFD"/>
    <w:rsid w:val="00797455"/>
    <w:rsid w:val="007A0606"/>
    <w:rsid w:val="007B0D35"/>
    <w:rsid w:val="007D0044"/>
    <w:rsid w:val="007D1A27"/>
    <w:rsid w:val="007F4D88"/>
    <w:rsid w:val="00805EA6"/>
    <w:rsid w:val="00806190"/>
    <w:rsid w:val="00815459"/>
    <w:rsid w:val="0081602C"/>
    <w:rsid w:val="00830759"/>
    <w:rsid w:val="008357BF"/>
    <w:rsid w:val="00835B1F"/>
    <w:rsid w:val="00840EA8"/>
    <w:rsid w:val="008715C7"/>
    <w:rsid w:val="00873419"/>
    <w:rsid w:val="00893C45"/>
    <w:rsid w:val="008945F1"/>
    <w:rsid w:val="00896EE2"/>
    <w:rsid w:val="008A022B"/>
    <w:rsid w:val="008A4BE8"/>
    <w:rsid w:val="008B55BD"/>
    <w:rsid w:val="008C5E21"/>
    <w:rsid w:val="008D4487"/>
    <w:rsid w:val="008E4972"/>
    <w:rsid w:val="008F2D1A"/>
    <w:rsid w:val="008F545A"/>
    <w:rsid w:val="009055BD"/>
    <w:rsid w:val="00907692"/>
    <w:rsid w:val="009336AE"/>
    <w:rsid w:val="00940BE3"/>
    <w:rsid w:val="00977D6F"/>
    <w:rsid w:val="00984C7C"/>
    <w:rsid w:val="009864E9"/>
    <w:rsid w:val="009877C3"/>
    <w:rsid w:val="00991AB5"/>
    <w:rsid w:val="00997A8F"/>
    <w:rsid w:val="009A4859"/>
    <w:rsid w:val="009C33AF"/>
    <w:rsid w:val="009C3CF7"/>
    <w:rsid w:val="009C7D06"/>
    <w:rsid w:val="009D1EA9"/>
    <w:rsid w:val="009D6AFA"/>
    <w:rsid w:val="009D7968"/>
    <w:rsid w:val="009F02B2"/>
    <w:rsid w:val="009F1C44"/>
    <w:rsid w:val="009F4092"/>
    <w:rsid w:val="00A22D7C"/>
    <w:rsid w:val="00A25767"/>
    <w:rsid w:val="00A27528"/>
    <w:rsid w:val="00A331A8"/>
    <w:rsid w:val="00A45888"/>
    <w:rsid w:val="00A618FB"/>
    <w:rsid w:val="00A61F2D"/>
    <w:rsid w:val="00A708B7"/>
    <w:rsid w:val="00A806F4"/>
    <w:rsid w:val="00A8313A"/>
    <w:rsid w:val="00A852EF"/>
    <w:rsid w:val="00A9139C"/>
    <w:rsid w:val="00A969D2"/>
    <w:rsid w:val="00A96EF1"/>
    <w:rsid w:val="00AA6073"/>
    <w:rsid w:val="00AB61EF"/>
    <w:rsid w:val="00AB7547"/>
    <w:rsid w:val="00AC0984"/>
    <w:rsid w:val="00AC3048"/>
    <w:rsid w:val="00AE2027"/>
    <w:rsid w:val="00AF0431"/>
    <w:rsid w:val="00B0722A"/>
    <w:rsid w:val="00B12BFC"/>
    <w:rsid w:val="00B23FFD"/>
    <w:rsid w:val="00B265BB"/>
    <w:rsid w:val="00B27B6C"/>
    <w:rsid w:val="00B36486"/>
    <w:rsid w:val="00B437AF"/>
    <w:rsid w:val="00B62D1E"/>
    <w:rsid w:val="00B83769"/>
    <w:rsid w:val="00B94178"/>
    <w:rsid w:val="00B94743"/>
    <w:rsid w:val="00B961F9"/>
    <w:rsid w:val="00BB1463"/>
    <w:rsid w:val="00BB280F"/>
    <w:rsid w:val="00BC7CA6"/>
    <w:rsid w:val="00BD64C0"/>
    <w:rsid w:val="00BE5F18"/>
    <w:rsid w:val="00BE7068"/>
    <w:rsid w:val="00BF352A"/>
    <w:rsid w:val="00BF41E1"/>
    <w:rsid w:val="00C06BD6"/>
    <w:rsid w:val="00C111BA"/>
    <w:rsid w:val="00C11688"/>
    <w:rsid w:val="00C12704"/>
    <w:rsid w:val="00C17534"/>
    <w:rsid w:val="00C219A3"/>
    <w:rsid w:val="00C55CA4"/>
    <w:rsid w:val="00C70563"/>
    <w:rsid w:val="00C71AA8"/>
    <w:rsid w:val="00C77E16"/>
    <w:rsid w:val="00C85988"/>
    <w:rsid w:val="00C92E9A"/>
    <w:rsid w:val="00CB3E82"/>
    <w:rsid w:val="00CC1BA7"/>
    <w:rsid w:val="00CE00F5"/>
    <w:rsid w:val="00CE66FC"/>
    <w:rsid w:val="00CE751D"/>
    <w:rsid w:val="00CF387E"/>
    <w:rsid w:val="00CF3B37"/>
    <w:rsid w:val="00CF5F46"/>
    <w:rsid w:val="00CF7021"/>
    <w:rsid w:val="00CF75FD"/>
    <w:rsid w:val="00D04ACB"/>
    <w:rsid w:val="00D06C18"/>
    <w:rsid w:val="00D07289"/>
    <w:rsid w:val="00D30D21"/>
    <w:rsid w:val="00D345E0"/>
    <w:rsid w:val="00D35A30"/>
    <w:rsid w:val="00D36561"/>
    <w:rsid w:val="00D503B6"/>
    <w:rsid w:val="00D608B3"/>
    <w:rsid w:val="00D6530A"/>
    <w:rsid w:val="00D65DD0"/>
    <w:rsid w:val="00DA2D1A"/>
    <w:rsid w:val="00DA5B3B"/>
    <w:rsid w:val="00DD6541"/>
    <w:rsid w:val="00DD6955"/>
    <w:rsid w:val="00E04793"/>
    <w:rsid w:val="00E27893"/>
    <w:rsid w:val="00E346B8"/>
    <w:rsid w:val="00E462AB"/>
    <w:rsid w:val="00E542A7"/>
    <w:rsid w:val="00E65489"/>
    <w:rsid w:val="00E83F95"/>
    <w:rsid w:val="00E925C4"/>
    <w:rsid w:val="00E94C96"/>
    <w:rsid w:val="00EB28F7"/>
    <w:rsid w:val="00EB3918"/>
    <w:rsid w:val="00EC6B9B"/>
    <w:rsid w:val="00ED0B5E"/>
    <w:rsid w:val="00ED2702"/>
    <w:rsid w:val="00EE764C"/>
    <w:rsid w:val="00EF1864"/>
    <w:rsid w:val="00F079C6"/>
    <w:rsid w:val="00F12F4E"/>
    <w:rsid w:val="00F13976"/>
    <w:rsid w:val="00F157F9"/>
    <w:rsid w:val="00F21229"/>
    <w:rsid w:val="00F21D88"/>
    <w:rsid w:val="00F27A15"/>
    <w:rsid w:val="00F37F11"/>
    <w:rsid w:val="00F4035A"/>
    <w:rsid w:val="00F8449B"/>
    <w:rsid w:val="00F91D7E"/>
    <w:rsid w:val="00F96BB2"/>
    <w:rsid w:val="00FA48F8"/>
    <w:rsid w:val="00FA55A8"/>
    <w:rsid w:val="00FB252C"/>
    <w:rsid w:val="00FB4632"/>
    <w:rsid w:val="00FC1FE4"/>
    <w:rsid w:val="00FC5386"/>
    <w:rsid w:val="00FE000D"/>
    <w:rsid w:val="00FE3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EDF"/>
  <w15:chartTrackingRefBased/>
  <w15:docId w15:val="{5B88DE0D-B87B-4F59-92E9-A6966EA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A8"/>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1A8"/>
    <w:rPr>
      <w:color w:val="0563C1" w:themeColor="hyperlink"/>
      <w:u w:val="single"/>
    </w:rPr>
  </w:style>
  <w:style w:type="character" w:customStyle="1" w:styleId="UnresolvedMention">
    <w:name w:val="Unresolved Mention"/>
    <w:basedOn w:val="DefaultParagraphFont"/>
    <w:uiPriority w:val="99"/>
    <w:semiHidden/>
    <w:unhideWhenUsed/>
    <w:rsid w:val="00F27A15"/>
    <w:rPr>
      <w:color w:val="808080"/>
      <w:shd w:val="clear" w:color="auto" w:fill="E6E6E6"/>
    </w:rPr>
  </w:style>
  <w:style w:type="paragraph" w:styleId="ListParagraph">
    <w:name w:val="List Paragraph"/>
    <w:basedOn w:val="Normal"/>
    <w:uiPriority w:val="34"/>
    <w:qFormat/>
    <w:rsid w:val="00213CCB"/>
    <w:pPr>
      <w:ind w:left="720"/>
      <w:contextualSpacing/>
    </w:pPr>
  </w:style>
  <w:style w:type="paragraph" w:styleId="NormalWeb">
    <w:name w:val="Normal (Web)"/>
    <w:basedOn w:val="Normal"/>
    <w:uiPriority w:val="99"/>
    <w:semiHidden/>
    <w:unhideWhenUsed/>
    <w:rsid w:val="00C17534"/>
    <w:pPr>
      <w:spacing w:after="135"/>
    </w:pPr>
    <w:rPr>
      <w:rFonts w:eastAsia="Times New Roman"/>
      <w:sz w:val="24"/>
      <w:szCs w:val="24"/>
    </w:rPr>
  </w:style>
  <w:style w:type="paragraph" w:styleId="Header">
    <w:name w:val="header"/>
    <w:basedOn w:val="Normal"/>
    <w:link w:val="HeaderChar"/>
    <w:uiPriority w:val="99"/>
    <w:unhideWhenUsed/>
    <w:rsid w:val="00F157F9"/>
    <w:pPr>
      <w:tabs>
        <w:tab w:val="center" w:pos="4680"/>
        <w:tab w:val="right" w:pos="9360"/>
      </w:tabs>
      <w:spacing w:after="0"/>
    </w:pPr>
  </w:style>
  <w:style w:type="character" w:customStyle="1" w:styleId="HeaderChar">
    <w:name w:val="Header Char"/>
    <w:basedOn w:val="DefaultParagraphFont"/>
    <w:link w:val="Header"/>
    <w:uiPriority w:val="99"/>
    <w:rsid w:val="00F157F9"/>
    <w:rPr>
      <w:rFonts w:ascii="Times New Roman" w:eastAsia="Calibri" w:hAnsi="Times New Roman" w:cs="Times New Roman"/>
      <w:sz w:val="26"/>
    </w:rPr>
  </w:style>
  <w:style w:type="paragraph" w:styleId="Footer">
    <w:name w:val="footer"/>
    <w:basedOn w:val="Normal"/>
    <w:link w:val="FooterChar"/>
    <w:uiPriority w:val="99"/>
    <w:unhideWhenUsed/>
    <w:rsid w:val="00F157F9"/>
    <w:pPr>
      <w:tabs>
        <w:tab w:val="center" w:pos="4680"/>
        <w:tab w:val="right" w:pos="9360"/>
      </w:tabs>
      <w:spacing w:after="0"/>
    </w:pPr>
  </w:style>
  <w:style w:type="character" w:customStyle="1" w:styleId="FooterChar">
    <w:name w:val="Footer Char"/>
    <w:basedOn w:val="DefaultParagraphFont"/>
    <w:link w:val="Footer"/>
    <w:uiPriority w:val="99"/>
    <w:rsid w:val="00F157F9"/>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A708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B7"/>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0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7051">
      <w:bodyDiv w:val="1"/>
      <w:marLeft w:val="0"/>
      <w:marRight w:val="0"/>
      <w:marTop w:val="0"/>
      <w:marBottom w:val="0"/>
      <w:divBdr>
        <w:top w:val="none" w:sz="0" w:space="0" w:color="auto"/>
        <w:left w:val="none" w:sz="0" w:space="0" w:color="auto"/>
        <w:bottom w:val="none" w:sz="0" w:space="0" w:color="auto"/>
        <w:right w:val="none" w:sz="0" w:space="0" w:color="auto"/>
      </w:divBdr>
    </w:div>
    <w:div w:id="241372433">
      <w:bodyDiv w:val="1"/>
      <w:marLeft w:val="0"/>
      <w:marRight w:val="0"/>
      <w:marTop w:val="0"/>
      <w:marBottom w:val="0"/>
      <w:divBdr>
        <w:top w:val="none" w:sz="0" w:space="0" w:color="auto"/>
        <w:left w:val="none" w:sz="0" w:space="0" w:color="auto"/>
        <w:bottom w:val="none" w:sz="0" w:space="0" w:color="auto"/>
        <w:right w:val="none" w:sz="0" w:space="0" w:color="auto"/>
      </w:divBdr>
    </w:div>
    <w:div w:id="300111320">
      <w:bodyDiv w:val="1"/>
      <w:marLeft w:val="0"/>
      <w:marRight w:val="0"/>
      <w:marTop w:val="0"/>
      <w:marBottom w:val="0"/>
      <w:divBdr>
        <w:top w:val="none" w:sz="0" w:space="0" w:color="auto"/>
        <w:left w:val="none" w:sz="0" w:space="0" w:color="auto"/>
        <w:bottom w:val="none" w:sz="0" w:space="0" w:color="auto"/>
        <w:right w:val="none" w:sz="0" w:space="0" w:color="auto"/>
      </w:divBdr>
    </w:div>
    <w:div w:id="1150368988">
      <w:bodyDiv w:val="1"/>
      <w:marLeft w:val="0"/>
      <w:marRight w:val="0"/>
      <w:marTop w:val="0"/>
      <w:marBottom w:val="0"/>
      <w:divBdr>
        <w:top w:val="none" w:sz="0" w:space="0" w:color="auto"/>
        <w:left w:val="none" w:sz="0" w:space="0" w:color="auto"/>
        <w:bottom w:val="none" w:sz="0" w:space="0" w:color="auto"/>
        <w:right w:val="none" w:sz="0" w:space="0" w:color="auto"/>
      </w:divBdr>
      <w:divsChild>
        <w:div w:id="1238512502">
          <w:marLeft w:val="0"/>
          <w:marRight w:val="0"/>
          <w:marTop w:val="0"/>
          <w:marBottom w:val="0"/>
          <w:divBdr>
            <w:top w:val="none" w:sz="0" w:space="0" w:color="auto"/>
            <w:left w:val="none" w:sz="0" w:space="0" w:color="auto"/>
            <w:bottom w:val="none" w:sz="0" w:space="0" w:color="auto"/>
            <w:right w:val="none" w:sz="0" w:space="0" w:color="auto"/>
          </w:divBdr>
          <w:divsChild>
            <w:div w:id="538013846">
              <w:marLeft w:val="0"/>
              <w:marRight w:val="0"/>
              <w:marTop w:val="0"/>
              <w:marBottom w:val="0"/>
              <w:divBdr>
                <w:top w:val="none" w:sz="0" w:space="0" w:color="auto"/>
                <w:left w:val="none" w:sz="0" w:space="0" w:color="auto"/>
                <w:bottom w:val="none" w:sz="0" w:space="0" w:color="auto"/>
                <w:right w:val="none" w:sz="0" w:space="0" w:color="auto"/>
              </w:divBdr>
              <w:divsChild>
                <w:div w:id="244342097">
                  <w:marLeft w:val="0"/>
                  <w:marRight w:val="0"/>
                  <w:marTop w:val="0"/>
                  <w:marBottom w:val="0"/>
                  <w:divBdr>
                    <w:top w:val="none" w:sz="0" w:space="0" w:color="auto"/>
                    <w:left w:val="none" w:sz="0" w:space="0" w:color="auto"/>
                    <w:bottom w:val="none" w:sz="0" w:space="0" w:color="auto"/>
                    <w:right w:val="none" w:sz="0" w:space="0" w:color="auto"/>
                  </w:divBdr>
                  <w:divsChild>
                    <w:div w:id="1341856230">
                      <w:marLeft w:val="0"/>
                      <w:marRight w:val="0"/>
                      <w:marTop w:val="0"/>
                      <w:marBottom w:val="0"/>
                      <w:divBdr>
                        <w:top w:val="none" w:sz="0" w:space="0" w:color="auto"/>
                        <w:left w:val="none" w:sz="0" w:space="0" w:color="auto"/>
                        <w:bottom w:val="none" w:sz="0" w:space="0" w:color="auto"/>
                        <w:right w:val="none" w:sz="0" w:space="0" w:color="auto"/>
                      </w:divBdr>
                      <w:divsChild>
                        <w:div w:id="19513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41611">
      <w:bodyDiv w:val="1"/>
      <w:marLeft w:val="0"/>
      <w:marRight w:val="0"/>
      <w:marTop w:val="0"/>
      <w:marBottom w:val="0"/>
      <w:divBdr>
        <w:top w:val="none" w:sz="0" w:space="0" w:color="auto"/>
        <w:left w:val="none" w:sz="0" w:space="0" w:color="auto"/>
        <w:bottom w:val="none" w:sz="0" w:space="0" w:color="auto"/>
        <w:right w:val="none" w:sz="0" w:space="0" w:color="auto"/>
      </w:divBdr>
      <w:divsChild>
        <w:div w:id="1992324861">
          <w:marLeft w:val="0"/>
          <w:marRight w:val="0"/>
          <w:marTop w:val="0"/>
          <w:marBottom w:val="0"/>
          <w:divBdr>
            <w:top w:val="none" w:sz="0" w:space="0" w:color="auto"/>
            <w:left w:val="none" w:sz="0" w:space="0" w:color="auto"/>
            <w:bottom w:val="none" w:sz="0" w:space="0" w:color="auto"/>
            <w:right w:val="none" w:sz="0" w:space="0" w:color="auto"/>
          </w:divBdr>
          <w:divsChild>
            <w:div w:id="2037999873">
              <w:marLeft w:val="0"/>
              <w:marRight w:val="0"/>
              <w:marTop w:val="0"/>
              <w:marBottom w:val="0"/>
              <w:divBdr>
                <w:top w:val="none" w:sz="0" w:space="0" w:color="auto"/>
                <w:left w:val="none" w:sz="0" w:space="0" w:color="auto"/>
                <w:bottom w:val="none" w:sz="0" w:space="0" w:color="auto"/>
                <w:right w:val="none" w:sz="0" w:space="0" w:color="auto"/>
              </w:divBdr>
              <w:divsChild>
                <w:div w:id="111676657">
                  <w:marLeft w:val="0"/>
                  <w:marRight w:val="0"/>
                  <w:marTop w:val="0"/>
                  <w:marBottom w:val="0"/>
                  <w:divBdr>
                    <w:top w:val="none" w:sz="0" w:space="0" w:color="auto"/>
                    <w:left w:val="none" w:sz="0" w:space="0" w:color="auto"/>
                    <w:bottom w:val="none" w:sz="0" w:space="0" w:color="auto"/>
                    <w:right w:val="none" w:sz="0" w:space="0" w:color="auto"/>
                  </w:divBdr>
                  <w:divsChild>
                    <w:div w:id="1903829535">
                      <w:marLeft w:val="0"/>
                      <w:marRight w:val="0"/>
                      <w:marTop w:val="0"/>
                      <w:marBottom w:val="0"/>
                      <w:divBdr>
                        <w:top w:val="none" w:sz="0" w:space="0" w:color="auto"/>
                        <w:left w:val="none" w:sz="0" w:space="0" w:color="auto"/>
                        <w:bottom w:val="none" w:sz="0" w:space="0" w:color="auto"/>
                        <w:right w:val="none" w:sz="0" w:space="0" w:color="auto"/>
                      </w:divBdr>
                      <w:divsChild>
                        <w:div w:id="11289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ibrary.ferc.gov/idmws/common/OpenNat.asp?fileID=14822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878F-913E-4108-8FED-483B1FDC5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5</cp:revision>
  <cp:lastPrinted>2018-02-16T17:35:00Z</cp:lastPrinted>
  <dcterms:created xsi:type="dcterms:W3CDTF">2018-02-16T17:20:00Z</dcterms:created>
  <dcterms:modified xsi:type="dcterms:W3CDTF">2018-03-28T16:54:00Z</dcterms:modified>
</cp:coreProperties>
</file>