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CD05A" w14:textId="33C469E3" w:rsidR="00B72C9D" w:rsidRPr="00F23DC8" w:rsidRDefault="00AC2663" w:rsidP="00783D25">
      <w:pPr>
        <w:spacing w:after="0" w:line="240" w:lineRule="auto"/>
        <w:rPr>
          <w:rFonts w:cstheme="minorHAnsi"/>
          <w:b/>
          <w:sz w:val="32"/>
          <w:szCs w:val="24"/>
        </w:rPr>
      </w:pPr>
      <w:bookmarkStart w:id="0" w:name="_GoBack"/>
      <w:bookmarkEnd w:id="0"/>
      <w:r w:rsidRPr="00F23DC8">
        <w:rPr>
          <w:rFonts w:cstheme="minorHAnsi"/>
          <w:b/>
          <w:sz w:val="32"/>
          <w:szCs w:val="24"/>
        </w:rPr>
        <w:t>AGDC defends LNG site selection, calls Mat-Su claims ‘baseless’</w:t>
      </w:r>
    </w:p>
    <w:p w14:paraId="5CD1EB8F" w14:textId="77777777" w:rsidR="00DB277D" w:rsidRPr="00783D25" w:rsidRDefault="00DB277D" w:rsidP="00783D25">
      <w:pPr>
        <w:spacing w:after="0" w:line="240" w:lineRule="auto"/>
        <w:rPr>
          <w:rFonts w:cstheme="minorHAnsi"/>
          <w:sz w:val="24"/>
          <w:szCs w:val="24"/>
        </w:rPr>
      </w:pPr>
    </w:p>
    <w:p w14:paraId="7C46B492" w14:textId="77777777" w:rsidR="00DB277D" w:rsidRPr="00783D25" w:rsidRDefault="00DB277D" w:rsidP="00783D25">
      <w:pPr>
        <w:spacing w:after="0" w:line="240" w:lineRule="auto"/>
        <w:rPr>
          <w:rFonts w:cstheme="minorHAnsi"/>
          <w:sz w:val="24"/>
          <w:szCs w:val="24"/>
        </w:rPr>
      </w:pPr>
      <w:r w:rsidRPr="00783D25">
        <w:rPr>
          <w:rFonts w:cstheme="minorHAnsi"/>
          <w:sz w:val="24"/>
          <w:szCs w:val="24"/>
        </w:rPr>
        <w:t xml:space="preserve">By Larry Persily </w:t>
      </w:r>
      <w:hyperlink r:id="rId8" w:history="1">
        <w:r w:rsidRPr="00783D25">
          <w:rPr>
            <w:rFonts w:cstheme="minorHAnsi"/>
            <w:sz w:val="24"/>
            <w:szCs w:val="24"/>
            <w:u w:val="single"/>
          </w:rPr>
          <w:t>paper@alaskan.com</w:t>
        </w:r>
      </w:hyperlink>
    </w:p>
    <w:p w14:paraId="3F8A4D42" w14:textId="0BF7D6F5" w:rsidR="00DB277D" w:rsidRPr="00783D25" w:rsidRDefault="00B573AA" w:rsidP="00783D25">
      <w:pPr>
        <w:spacing w:after="0" w:line="240" w:lineRule="auto"/>
        <w:rPr>
          <w:rFonts w:cstheme="minorHAnsi"/>
          <w:sz w:val="24"/>
          <w:szCs w:val="24"/>
        </w:rPr>
      </w:pPr>
      <w:r w:rsidRPr="00783D25">
        <w:rPr>
          <w:rFonts w:cstheme="minorHAnsi"/>
          <w:sz w:val="24"/>
          <w:szCs w:val="24"/>
        </w:rPr>
        <w:t xml:space="preserve">Oct. </w:t>
      </w:r>
      <w:r w:rsidR="00AC2663" w:rsidRPr="00783D25">
        <w:rPr>
          <w:rFonts w:cstheme="minorHAnsi"/>
          <w:sz w:val="24"/>
          <w:szCs w:val="24"/>
        </w:rPr>
        <w:t>5</w:t>
      </w:r>
      <w:r w:rsidR="00DB277D" w:rsidRPr="00783D25">
        <w:rPr>
          <w:rFonts w:cstheme="minorHAnsi"/>
          <w:sz w:val="24"/>
          <w:szCs w:val="24"/>
        </w:rPr>
        <w:t>, 2018</w:t>
      </w:r>
    </w:p>
    <w:p w14:paraId="37C2BF82" w14:textId="77777777" w:rsidR="00DB277D" w:rsidRPr="00783D25" w:rsidRDefault="00DB277D" w:rsidP="00783D25">
      <w:pPr>
        <w:spacing w:after="0" w:line="240" w:lineRule="auto"/>
        <w:rPr>
          <w:rFonts w:cstheme="minorHAnsi"/>
          <w:sz w:val="24"/>
          <w:szCs w:val="24"/>
        </w:rPr>
      </w:pPr>
    </w:p>
    <w:p w14:paraId="682DFBE3" w14:textId="1747ECAD" w:rsidR="00E205D7" w:rsidRDefault="00207672" w:rsidP="00E205D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83D25">
        <w:rPr>
          <w:rFonts w:eastAsia="Times New Roman" w:cstheme="minorHAnsi"/>
          <w:sz w:val="24"/>
          <w:szCs w:val="24"/>
        </w:rPr>
        <w:t>The state corporation in charge of develop</w:t>
      </w:r>
      <w:r w:rsidR="00571018" w:rsidRPr="00783D25">
        <w:rPr>
          <w:rFonts w:eastAsia="Times New Roman" w:cstheme="minorHAnsi"/>
          <w:sz w:val="24"/>
          <w:szCs w:val="24"/>
        </w:rPr>
        <w:t>ing</w:t>
      </w:r>
      <w:r w:rsidRPr="00783D25">
        <w:rPr>
          <w:rFonts w:eastAsia="Times New Roman" w:cstheme="minorHAnsi"/>
          <w:sz w:val="24"/>
          <w:szCs w:val="24"/>
        </w:rPr>
        <w:t xml:space="preserve"> the proposed $43 billion Alaska LNG project denies that it failed to </w:t>
      </w:r>
      <w:r w:rsidR="008B4C0C">
        <w:rPr>
          <w:rFonts w:eastAsia="Times New Roman" w:cstheme="minorHAnsi"/>
          <w:sz w:val="24"/>
          <w:szCs w:val="24"/>
        </w:rPr>
        <w:t>undertake</w:t>
      </w:r>
      <w:r w:rsidRPr="00783D25">
        <w:rPr>
          <w:rFonts w:eastAsia="Times New Roman" w:cstheme="minorHAnsi"/>
          <w:sz w:val="24"/>
          <w:szCs w:val="24"/>
        </w:rPr>
        <w:t xml:space="preserve"> a good-faith analysis of the Matanuska</w:t>
      </w:r>
      <w:r w:rsidR="0062778E">
        <w:rPr>
          <w:rFonts w:eastAsia="Times New Roman" w:cstheme="minorHAnsi"/>
          <w:sz w:val="24"/>
          <w:szCs w:val="24"/>
        </w:rPr>
        <w:t>-</w:t>
      </w:r>
      <w:r w:rsidRPr="00783D25">
        <w:rPr>
          <w:rFonts w:eastAsia="Times New Roman" w:cstheme="minorHAnsi"/>
          <w:sz w:val="24"/>
          <w:szCs w:val="24"/>
        </w:rPr>
        <w:t>Susitna Borough’s Port MacKenzie as an alternative to building the gas liquefaction plant in Nikiski.</w:t>
      </w:r>
    </w:p>
    <w:p w14:paraId="780E265E" w14:textId="77777777" w:rsidR="00E205D7" w:rsidRDefault="00E205D7" w:rsidP="00E205D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437D82A" w14:textId="6B67B4AC" w:rsidR="00E205D7" w:rsidRPr="00783D25" w:rsidRDefault="00E205D7" w:rsidP="00E205D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83D25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>borough last month alleged that the Alaska Gasline Development Corp. (AGDC) presented</w:t>
      </w:r>
      <w:r w:rsidRPr="00783D25">
        <w:rPr>
          <w:rFonts w:eastAsia="Times New Roman" w:cstheme="minorHAnsi"/>
          <w:sz w:val="24"/>
          <w:szCs w:val="24"/>
        </w:rPr>
        <w:t xml:space="preserve"> “numerous factual errors and willfully misleading statements” to federal regulators and failed to </w:t>
      </w:r>
      <w:r w:rsidR="008B4C0C">
        <w:rPr>
          <w:rFonts w:eastAsia="Times New Roman" w:cstheme="minorHAnsi"/>
          <w:sz w:val="24"/>
          <w:szCs w:val="24"/>
        </w:rPr>
        <w:t>conduct</w:t>
      </w:r>
      <w:r w:rsidRPr="00783D25">
        <w:rPr>
          <w:rFonts w:eastAsia="Times New Roman" w:cstheme="minorHAnsi"/>
          <w:sz w:val="24"/>
          <w:szCs w:val="24"/>
        </w:rPr>
        <w:t xml:space="preserve"> “a good faith and unbiased analysis” of borough land at Port MacKenzie.</w:t>
      </w:r>
    </w:p>
    <w:p w14:paraId="6D6C6BB7" w14:textId="77777777" w:rsidR="00E205D7" w:rsidRPr="00783D25" w:rsidRDefault="00E205D7" w:rsidP="00E205D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88C6005" w14:textId="0D5E42BF" w:rsidR="00A53005" w:rsidRPr="00783D25" w:rsidRDefault="00E205D7" w:rsidP="00783D2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83D25">
        <w:rPr>
          <w:rFonts w:eastAsia="Times New Roman" w:cstheme="minorHAnsi"/>
          <w:sz w:val="24"/>
          <w:szCs w:val="24"/>
        </w:rPr>
        <w:t xml:space="preserve">“The fact that the Matanuska-Susitna Borough disagrees with AGDC’s analysis does not indicate a lack of consultation or bad faith,” the state project team said in its </w:t>
      </w:r>
      <w:r>
        <w:rPr>
          <w:rFonts w:eastAsia="Times New Roman" w:cstheme="minorHAnsi"/>
          <w:sz w:val="24"/>
          <w:szCs w:val="24"/>
        </w:rPr>
        <w:t xml:space="preserve">Oct. 2 </w:t>
      </w:r>
      <w:r w:rsidRPr="00783D25">
        <w:rPr>
          <w:rFonts w:eastAsia="Times New Roman" w:cstheme="minorHAnsi"/>
          <w:sz w:val="24"/>
          <w:szCs w:val="24"/>
        </w:rPr>
        <w:t xml:space="preserve">filing with the Federal Energy Regulatory Commission (FERC). </w:t>
      </w:r>
      <w:r w:rsidR="00154D4A">
        <w:rPr>
          <w:rFonts w:eastAsia="Times New Roman" w:cstheme="minorHAnsi"/>
          <w:sz w:val="24"/>
          <w:szCs w:val="24"/>
        </w:rPr>
        <w:t xml:space="preserve"> </w:t>
      </w:r>
      <w:r w:rsidRPr="00783D25">
        <w:rPr>
          <w:rFonts w:eastAsia="Times New Roman" w:cstheme="minorHAnsi"/>
          <w:sz w:val="24"/>
          <w:szCs w:val="24"/>
        </w:rPr>
        <w:t xml:space="preserve">The borough’s assertions “are devoid of merit,” </w:t>
      </w:r>
      <w:r w:rsidR="00FE2C31">
        <w:rPr>
          <w:rFonts w:eastAsia="Times New Roman" w:cstheme="minorHAnsi"/>
          <w:sz w:val="24"/>
          <w:szCs w:val="24"/>
        </w:rPr>
        <w:t xml:space="preserve">AGDC </w:t>
      </w:r>
      <w:r w:rsidRPr="00783D25">
        <w:rPr>
          <w:rFonts w:eastAsia="Times New Roman" w:cstheme="minorHAnsi"/>
          <w:sz w:val="24"/>
          <w:szCs w:val="24"/>
        </w:rPr>
        <w:t>said.</w:t>
      </w:r>
      <w:r>
        <w:rPr>
          <w:rFonts w:eastAsia="Times New Roman" w:cstheme="minorHAnsi"/>
          <w:sz w:val="24"/>
          <w:szCs w:val="24"/>
        </w:rPr>
        <w:t xml:space="preserve"> </w:t>
      </w:r>
      <w:r w:rsidR="00154D4A">
        <w:rPr>
          <w:rFonts w:eastAsia="Times New Roman" w:cstheme="minorHAnsi"/>
          <w:sz w:val="24"/>
          <w:szCs w:val="24"/>
        </w:rPr>
        <w:t xml:space="preserve"> </w:t>
      </w:r>
      <w:r w:rsidR="00D25A9B" w:rsidRPr="00783D25">
        <w:rPr>
          <w:rFonts w:eastAsia="Times New Roman" w:cstheme="minorHAnsi"/>
          <w:sz w:val="24"/>
          <w:szCs w:val="24"/>
        </w:rPr>
        <w:t>“The incendiary accusations are baseless, entirely inappropriate and should be disregarded.</w:t>
      </w:r>
      <w:r>
        <w:rPr>
          <w:rFonts w:eastAsia="Times New Roman" w:cstheme="minorHAnsi"/>
          <w:sz w:val="24"/>
          <w:szCs w:val="24"/>
        </w:rPr>
        <w:t>”</w:t>
      </w:r>
    </w:p>
    <w:p w14:paraId="7776A12F" w14:textId="1D128BBA" w:rsidR="00D25A9B" w:rsidRPr="00783D25" w:rsidRDefault="00D25A9B" w:rsidP="00783D2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051EC77" w14:textId="4CCF340E" w:rsidR="00783D25" w:rsidRPr="00783D25" w:rsidRDefault="00783D25" w:rsidP="00783D2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83D25">
        <w:rPr>
          <w:rFonts w:eastAsia="Times New Roman" w:cstheme="minorHAnsi"/>
          <w:sz w:val="24"/>
          <w:szCs w:val="24"/>
        </w:rPr>
        <w:t>The borough on Sept. 14 filed 193 pages wit</w:t>
      </w:r>
      <w:r w:rsidR="00C60F13">
        <w:rPr>
          <w:rFonts w:eastAsia="Times New Roman" w:cstheme="minorHAnsi"/>
          <w:sz w:val="24"/>
          <w:szCs w:val="24"/>
        </w:rPr>
        <w:t>h FERC</w:t>
      </w:r>
      <w:r w:rsidRPr="00783D25">
        <w:rPr>
          <w:rFonts w:eastAsia="Times New Roman" w:cstheme="minorHAnsi"/>
          <w:sz w:val="24"/>
          <w:szCs w:val="24"/>
        </w:rPr>
        <w:t xml:space="preserve">, supporting its </w:t>
      </w:r>
      <w:r w:rsidR="00F27433">
        <w:rPr>
          <w:rFonts w:eastAsia="Times New Roman" w:cstheme="minorHAnsi"/>
          <w:sz w:val="24"/>
          <w:szCs w:val="24"/>
        </w:rPr>
        <w:t xml:space="preserve">mostly unused </w:t>
      </w:r>
      <w:r w:rsidRPr="00783D25">
        <w:rPr>
          <w:rFonts w:eastAsia="Times New Roman" w:cstheme="minorHAnsi"/>
          <w:sz w:val="24"/>
          <w:szCs w:val="24"/>
        </w:rPr>
        <w:t xml:space="preserve">property as a possible site for the multibillion-dollar </w:t>
      </w:r>
      <w:r w:rsidR="00F23DC8">
        <w:rPr>
          <w:rFonts w:eastAsia="Times New Roman" w:cstheme="minorHAnsi"/>
          <w:sz w:val="24"/>
          <w:szCs w:val="24"/>
        </w:rPr>
        <w:t>gas liquefaction plant and marine terminal</w:t>
      </w:r>
      <w:r w:rsidR="008B4C0C">
        <w:rPr>
          <w:rFonts w:eastAsia="Times New Roman" w:cstheme="minorHAnsi"/>
          <w:sz w:val="24"/>
          <w:szCs w:val="24"/>
        </w:rPr>
        <w:t xml:space="preserve">. </w:t>
      </w:r>
      <w:r w:rsidR="00154D4A">
        <w:rPr>
          <w:rFonts w:eastAsia="Times New Roman" w:cstheme="minorHAnsi"/>
          <w:sz w:val="24"/>
          <w:szCs w:val="24"/>
        </w:rPr>
        <w:t xml:space="preserve"> </w:t>
      </w:r>
      <w:r w:rsidR="008B4C0C">
        <w:rPr>
          <w:rFonts w:eastAsia="Times New Roman" w:cstheme="minorHAnsi"/>
          <w:sz w:val="24"/>
          <w:szCs w:val="24"/>
        </w:rPr>
        <w:t xml:space="preserve">The borough said the project team </w:t>
      </w:r>
      <w:r w:rsidR="00DE7358">
        <w:rPr>
          <w:rFonts w:eastAsia="Times New Roman" w:cstheme="minorHAnsi"/>
          <w:sz w:val="24"/>
          <w:szCs w:val="24"/>
        </w:rPr>
        <w:t xml:space="preserve">did not consider </w:t>
      </w:r>
      <w:r w:rsidR="00E70365">
        <w:rPr>
          <w:rFonts w:eastAsia="Times New Roman" w:cstheme="minorHAnsi"/>
          <w:sz w:val="24"/>
          <w:szCs w:val="24"/>
        </w:rPr>
        <w:t xml:space="preserve">the best acreage at </w:t>
      </w:r>
      <w:r w:rsidR="00DE7358">
        <w:rPr>
          <w:rFonts w:eastAsia="Times New Roman" w:cstheme="minorHAnsi"/>
          <w:sz w:val="24"/>
          <w:szCs w:val="24"/>
        </w:rPr>
        <w:t xml:space="preserve">Port MacKenzie when it selected </w:t>
      </w:r>
      <w:r w:rsidR="00C60F13">
        <w:rPr>
          <w:rFonts w:eastAsia="Times New Roman" w:cstheme="minorHAnsi"/>
          <w:sz w:val="24"/>
          <w:szCs w:val="24"/>
        </w:rPr>
        <w:t xml:space="preserve">Nikiski as </w:t>
      </w:r>
      <w:r w:rsidR="00DE7358">
        <w:rPr>
          <w:rFonts w:eastAsia="Times New Roman" w:cstheme="minorHAnsi"/>
          <w:sz w:val="24"/>
          <w:szCs w:val="24"/>
        </w:rPr>
        <w:t xml:space="preserve">its </w:t>
      </w:r>
      <w:r w:rsidR="00C60F13">
        <w:rPr>
          <w:rFonts w:eastAsia="Times New Roman" w:cstheme="minorHAnsi"/>
          <w:sz w:val="24"/>
          <w:szCs w:val="24"/>
        </w:rPr>
        <w:t xml:space="preserve">preferred </w:t>
      </w:r>
      <w:r w:rsidR="00DE7358">
        <w:rPr>
          <w:rFonts w:eastAsia="Times New Roman" w:cstheme="minorHAnsi"/>
          <w:sz w:val="24"/>
          <w:szCs w:val="24"/>
        </w:rPr>
        <w:t>location</w:t>
      </w:r>
      <w:r w:rsidR="00C60F13">
        <w:rPr>
          <w:rFonts w:eastAsia="Times New Roman" w:cstheme="minorHAnsi"/>
          <w:sz w:val="24"/>
          <w:szCs w:val="24"/>
        </w:rPr>
        <w:t xml:space="preserve"> </w:t>
      </w:r>
      <w:r w:rsidR="00DE7358">
        <w:rPr>
          <w:rFonts w:eastAsia="Times New Roman" w:cstheme="minorHAnsi"/>
          <w:sz w:val="24"/>
          <w:szCs w:val="24"/>
        </w:rPr>
        <w:t>in 2013</w:t>
      </w:r>
      <w:r w:rsidRPr="00783D25">
        <w:rPr>
          <w:rFonts w:eastAsia="Times New Roman" w:cstheme="minorHAnsi"/>
          <w:sz w:val="24"/>
          <w:szCs w:val="24"/>
        </w:rPr>
        <w:t>.</w:t>
      </w:r>
      <w:r w:rsidR="002A723C">
        <w:rPr>
          <w:rFonts w:eastAsia="Times New Roman" w:cstheme="minorHAnsi"/>
          <w:sz w:val="24"/>
          <w:szCs w:val="24"/>
        </w:rPr>
        <w:t xml:space="preserve"> </w:t>
      </w:r>
      <w:r w:rsidR="00C60F13">
        <w:rPr>
          <w:rFonts w:eastAsia="Times New Roman" w:cstheme="minorHAnsi"/>
          <w:sz w:val="24"/>
          <w:szCs w:val="24"/>
        </w:rPr>
        <w:t xml:space="preserve"> North Slope oil and gas producers ExxonMobil, BP</w:t>
      </w:r>
      <w:r w:rsidR="00154D4A">
        <w:rPr>
          <w:rFonts w:eastAsia="Times New Roman" w:cstheme="minorHAnsi"/>
          <w:sz w:val="24"/>
          <w:szCs w:val="24"/>
        </w:rPr>
        <w:t>,</w:t>
      </w:r>
      <w:r w:rsidR="00C60F13">
        <w:rPr>
          <w:rFonts w:eastAsia="Times New Roman" w:cstheme="minorHAnsi"/>
          <w:sz w:val="24"/>
          <w:szCs w:val="24"/>
        </w:rPr>
        <w:t xml:space="preserve"> and ConocoPhillips were leading the project at that time, with the state as a minority partner. </w:t>
      </w:r>
      <w:r w:rsidR="00154D4A">
        <w:rPr>
          <w:rFonts w:eastAsia="Times New Roman" w:cstheme="minorHAnsi"/>
          <w:sz w:val="24"/>
          <w:szCs w:val="24"/>
        </w:rPr>
        <w:t xml:space="preserve"> </w:t>
      </w:r>
      <w:r w:rsidR="00C60F13">
        <w:rPr>
          <w:rFonts w:eastAsia="Times New Roman" w:cstheme="minorHAnsi"/>
          <w:sz w:val="24"/>
          <w:szCs w:val="24"/>
        </w:rPr>
        <w:t xml:space="preserve">The state, through AGDC, took over the venture in 2016 and has not </w:t>
      </w:r>
      <w:r w:rsidR="007B0D13">
        <w:rPr>
          <w:rFonts w:eastAsia="Times New Roman" w:cstheme="minorHAnsi"/>
          <w:sz w:val="24"/>
          <w:szCs w:val="24"/>
        </w:rPr>
        <w:t>wavered</w:t>
      </w:r>
      <w:r w:rsidR="00C60F13">
        <w:rPr>
          <w:rFonts w:eastAsia="Times New Roman" w:cstheme="minorHAnsi"/>
          <w:sz w:val="24"/>
          <w:szCs w:val="24"/>
        </w:rPr>
        <w:t xml:space="preserve"> from Nikiski</w:t>
      </w:r>
      <w:r w:rsidR="00F27433">
        <w:rPr>
          <w:rFonts w:eastAsia="Times New Roman" w:cstheme="minorHAnsi"/>
          <w:sz w:val="24"/>
          <w:szCs w:val="24"/>
        </w:rPr>
        <w:t xml:space="preserve"> as the terminus </w:t>
      </w:r>
      <w:r w:rsidR="00D751A9">
        <w:rPr>
          <w:rFonts w:eastAsia="Times New Roman" w:cstheme="minorHAnsi"/>
          <w:sz w:val="24"/>
          <w:szCs w:val="24"/>
        </w:rPr>
        <w:t>for the proposed</w:t>
      </w:r>
      <w:r w:rsidR="00F27433">
        <w:rPr>
          <w:rFonts w:eastAsia="Times New Roman" w:cstheme="minorHAnsi"/>
          <w:sz w:val="24"/>
          <w:szCs w:val="24"/>
        </w:rPr>
        <w:t xml:space="preserve"> 807-mile gas pipeline from the North Slope.</w:t>
      </w:r>
    </w:p>
    <w:p w14:paraId="21E97A22" w14:textId="77777777" w:rsidR="00783D25" w:rsidRPr="00783D25" w:rsidRDefault="00783D25" w:rsidP="00783D2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B89D853" w14:textId="03F275ED" w:rsidR="00C60F13" w:rsidRPr="00783D25" w:rsidRDefault="00C60F13" w:rsidP="00C60F1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83D25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>Matanuska-Susitna B</w:t>
      </w:r>
      <w:r w:rsidRPr="00783D25">
        <w:rPr>
          <w:rFonts w:eastAsia="Times New Roman" w:cstheme="minorHAnsi"/>
          <w:sz w:val="24"/>
          <w:szCs w:val="24"/>
        </w:rPr>
        <w:t>orough</w:t>
      </w:r>
      <w:r>
        <w:rPr>
          <w:rFonts w:eastAsia="Times New Roman" w:cstheme="minorHAnsi"/>
          <w:sz w:val="24"/>
          <w:szCs w:val="24"/>
        </w:rPr>
        <w:t xml:space="preserve"> has long promoted Port MacKenzie, across Knik Arm from Anchorage, for industrial development.</w:t>
      </w:r>
      <w:r w:rsidR="00154D4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 I</w:t>
      </w:r>
      <w:r w:rsidRPr="00783D25">
        <w:rPr>
          <w:rFonts w:eastAsia="Times New Roman" w:cstheme="minorHAnsi"/>
          <w:sz w:val="24"/>
          <w:szCs w:val="24"/>
        </w:rPr>
        <w:t>n January</w:t>
      </w:r>
      <w:r>
        <w:rPr>
          <w:rFonts w:eastAsia="Times New Roman" w:cstheme="minorHAnsi"/>
          <w:sz w:val="24"/>
          <w:szCs w:val="24"/>
        </w:rPr>
        <w:t>, the borough</w:t>
      </w:r>
      <w:r w:rsidRPr="00783D25">
        <w:rPr>
          <w:rFonts w:eastAsia="Times New Roman" w:cstheme="minorHAnsi"/>
          <w:sz w:val="24"/>
          <w:szCs w:val="24"/>
        </w:rPr>
        <w:t xml:space="preserve"> filed to gain intervenor status in FERC’s proceedings — which the commission later granted — giving the borough the legal right to challenge the commission’s findings in court.</w:t>
      </w:r>
    </w:p>
    <w:p w14:paraId="423CB208" w14:textId="77777777" w:rsidR="00C60F13" w:rsidRPr="00783D25" w:rsidRDefault="00C60F13" w:rsidP="00C60F1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51F6619" w14:textId="07A2B594" w:rsidR="007A5036" w:rsidRDefault="00C60F13" w:rsidP="00783D2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 its Sept. 14 filings, the borough urged FERC “</w:t>
      </w:r>
      <w:r w:rsidR="00783D25" w:rsidRPr="00783D25">
        <w:rPr>
          <w:rFonts w:eastAsia="Times New Roman" w:cstheme="minorHAnsi"/>
          <w:sz w:val="24"/>
          <w:szCs w:val="24"/>
        </w:rPr>
        <w:t xml:space="preserve">to refrain from further action” on the Alaska LNG project. </w:t>
      </w:r>
      <w:r w:rsidR="00154D4A">
        <w:rPr>
          <w:rFonts w:eastAsia="Times New Roman" w:cstheme="minorHAnsi"/>
          <w:sz w:val="24"/>
          <w:szCs w:val="24"/>
        </w:rPr>
        <w:t xml:space="preserve"> </w:t>
      </w:r>
      <w:r w:rsidR="00783D25" w:rsidRPr="00783D25">
        <w:rPr>
          <w:rFonts w:eastAsia="Times New Roman" w:cstheme="minorHAnsi"/>
          <w:sz w:val="24"/>
          <w:szCs w:val="24"/>
        </w:rPr>
        <w:t>“FERC must not proceed with its review of AGDC’s application” until the state team “has presented a fair and accurate analysis of Port MacKenzie as an alternative site,” the borough said.</w:t>
      </w:r>
    </w:p>
    <w:p w14:paraId="62B434D0" w14:textId="77777777" w:rsidR="007A5036" w:rsidRDefault="007A5036" w:rsidP="00783D2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A235BB6" w14:textId="0759EF53" w:rsidR="00783D25" w:rsidRDefault="00783D25" w:rsidP="00783D2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83D25">
        <w:rPr>
          <w:rFonts w:eastAsia="Times New Roman" w:cstheme="minorHAnsi"/>
          <w:sz w:val="24"/>
          <w:szCs w:val="24"/>
        </w:rPr>
        <w:t>The borough</w:t>
      </w:r>
      <w:r w:rsidR="00C60F13">
        <w:rPr>
          <w:rFonts w:eastAsia="Times New Roman" w:cstheme="minorHAnsi"/>
          <w:sz w:val="24"/>
          <w:szCs w:val="24"/>
        </w:rPr>
        <w:t xml:space="preserve">’s comments were not in the form of a </w:t>
      </w:r>
      <w:r w:rsidRPr="00783D25">
        <w:rPr>
          <w:rFonts w:eastAsia="Times New Roman" w:cstheme="minorHAnsi"/>
          <w:sz w:val="24"/>
          <w:szCs w:val="24"/>
        </w:rPr>
        <w:t xml:space="preserve">motion seeking formal commission action, and FERC is not required to respond to the borough’s </w:t>
      </w:r>
      <w:r w:rsidR="00DE7358">
        <w:rPr>
          <w:rFonts w:eastAsia="Times New Roman" w:cstheme="minorHAnsi"/>
          <w:sz w:val="24"/>
          <w:szCs w:val="24"/>
        </w:rPr>
        <w:t>request</w:t>
      </w:r>
      <w:r w:rsidR="00D751A9">
        <w:rPr>
          <w:rFonts w:eastAsia="Times New Roman" w:cstheme="minorHAnsi"/>
          <w:sz w:val="24"/>
          <w:szCs w:val="24"/>
        </w:rPr>
        <w:t xml:space="preserve"> that the agency</w:t>
      </w:r>
      <w:r w:rsidR="00F231FB">
        <w:rPr>
          <w:rFonts w:eastAsia="Times New Roman" w:cstheme="minorHAnsi"/>
          <w:sz w:val="24"/>
          <w:szCs w:val="24"/>
        </w:rPr>
        <w:t xml:space="preserve"> stop </w:t>
      </w:r>
      <w:r w:rsidR="00D751A9">
        <w:rPr>
          <w:rFonts w:eastAsia="Times New Roman" w:cstheme="minorHAnsi"/>
          <w:sz w:val="24"/>
          <w:szCs w:val="24"/>
        </w:rPr>
        <w:t xml:space="preserve">its </w:t>
      </w:r>
      <w:r w:rsidR="00F231FB">
        <w:rPr>
          <w:rFonts w:eastAsia="Times New Roman" w:cstheme="minorHAnsi"/>
          <w:sz w:val="24"/>
          <w:szCs w:val="24"/>
        </w:rPr>
        <w:t>work</w:t>
      </w:r>
      <w:r w:rsidRPr="00783D25">
        <w:rPr>
          <w:rFonts w:eastAsia="Times New Roman" w:cstheme="minorHAnsi"/>
          <w:sz w:val="24"/>
          <w:szCs w:val="24"/>
        </w:rPr>
        <w:t>.</w:t>
      </w:r>
    </w:p>
    <w:p w14:paraId="7A00AB8A" w14:textId="06C1BA4F" w:rsidR="00F231FB" w:rsidRDefault="00F231FB" w:rsidP="00783D2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1150ED6" w14:textId="081CB640" w:rsidR="00F231FB" w:rsidRDefault="00F231FB" w:rsidP="00783D2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FERC is scheduled to release the project’s draft environmental impact statement (EIS) in February 2019, assuming AGDC promptly answers the commission’s requests for additional information — including 193 questions delivered to AGDC on Oct. 2. </w:t>
      </w:r>
      <w:r w:rsidR="00154D4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That 63-page list </w:t>
      </w:r>
      <w:r w:rsidR="00D751A9">
        <w:rPr>
          <w:rFonts w:eastAsia="Times New Roman" w:cstheme="minorHAnsi"/>
          <w:sz w:val="24"/>
          <w:szCs w:val="24"/>
        </w:rPr>
        <w:t>cover</w:t>
      </w:r>
      <w:r w:rsidR="00432173">
        <w:rPr>
          <w:rFonts w:eastAsia="Times New Roman" w:cstheme="minorHAnsi"/>
          <w:sz w:val="24"/>
          <w:szCs w:val="24"/>
        </w:rPr>
        <w:t>ed</w:t>
      </w:r>
      <w:r w:rsidR="00D751A9">
        <w:rPr>
          <w:rFonts w:eastAsia="Times New Roman" w:cstheme="minorHAnsi"/>
          <w:sz w:val="24"/>
          <w:szCs w:val="24"/>
        </w:rPr>
        <w:t xml:space="preserve"> </w:t>
      </w:r>
      <w:r w:rsidR="00D751A9">
        <w:rPr>
          <w:rFonts w:eastAsia="Times New Roman" w:cstheme="minorHAnsi"/>
          <w:sz w:val="24"/>
          <w:szCs w:val="24"/>
        </w:rPr>
        <w:lastRenderedPageBreak/>
        <w:t>multiple subjects, including</w:t>
      </w:r>
      <w:r>
        <w:rPr>
          <w:rFonts w:eastAsia="Times New Roman" w:cstheme="minorHAnsi"/>
          <w:sz w:val="24"/>
          <w:szCs w:val="24"/>
        </w:rPr>
        <w:t xml:space="preserve"> questions about pipeline construction through permafrost and river crossings, temporary access roads</w:t>
      </w:r>
      <w:r w:rsidR="00DE7358">
        <w:rPr>
          <w:rFonts w:eastAsia="Times New Roman" w:cstheme="minorHAnsi"/>
          <w:sz w:val="24"/>
          <w:szCs w:val="24"/>
        </w:rPr>
        <w:t xml:space="preserve"> during construction</w:t>
      </w:r>
      <w:r>
        <w:rPr>
          <w:rFonts w:eastAsia="Times New Roman" w:cstheme="minorHAnsi"/>
          <w:sz w:val="24"/>
          <w:szCs w:val="24"/>
        </w:rPr>
        <w:t>, and requests for more information about Port MacKenzie’s potential as an alternative to Nikiski.</w:t>
      </w:r>
    </w:p>
    <w:p w14:paraId="37F4B82A" w14:textId="77777777" w:rsidR="00D248FA" w:rsidRDefault="00D248FA" w:rsidP="00783D2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E6F2F62" w14:textId="2D7CD7C9" w:rsidR="00F231FB" w:rsidRDefault="007A5036" w:rsidP="00783D2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Federal law requires that </w:t>
      </w:r>
      <w:r w:rsidR="00D751A9">
        <w:rPr>
          <w:rFonts w:eastAsia="Times New Roman" w:cstheme="minorHAnsi"/>
          <w:sz w:val="24"/>
          <w:szCs w:val="24"/>
        </w:rPr>
        <w:t>the</w:t>
      </w:r>
      <w:r w:rsidR="00F231FB">
        <w:rPr>
          <w:rFonts w:eastAsia="Times New Roman" w:cstheme="minorHAnsi"/>
          <w:sz w:val="24"/>
          <w:szCs w:val="24"/>
        </w:rPr>
        <w:t xml:space="preserve"> EIS consider not </w:t>
      </w:r>
      <w:r>
        <w:rPr>
          <w:rFonts w:eastAsia="Times New Roman" w:cstheme="minorHAnsi"/>
          <w:sz w:val="24"/>
          <w:szCs w:val="24"/>
        </w:rPr>
        <w:t xml:space="preserve">only </w:t>
      </w:r>
      <w:r w:rsidR="00F231FB">
        <w:rPr>
          <w:rFonts w:eastAsia="Times New Roman" w:cstheme="minorHAnsi"/>
          <w:sz w:val="24"/>
          <w:szCs w:val="24"/>
        </w:rPr>
        <w:t xml:space="preserve">the applicant’s preferred construction plans but also any economically feasible alternatives, such as pipeline routing </w:t>
      </w:r>
      <w:r w:rsidR="00E70365">
        <w:rPr>
          <w:rFonts w:eastAsia="Times New Roman" w:cstheme="minorHAnsi"/>
          <w:sz w:val="24"/>
          <w:szCs w:val="24"/>
        </w:rPr>
        <w:t>options</w:t>
      </w:r>
      <w:r>
        <w:rPr>
          <w:rFonts w:eastAsia="Times New Roman" w:cstheme="minorHAnsi"/>
          <w:sz w:val="24"/>
          <w:szCs w:val="24"/>
        </w:rPr>
        <w:t xml:space="preserve">, stream crossing </w:t>
      </w:r>
      <w:r w:rsidR="00E70365">
        <w:rPr>
          <w:rFonts w:eastAsia="Times New Roman" w:cstheme="minorHAnsi"/>
          <w:sz w:val="24"/>
          <w:szCs w:val="24"/>
        </w:rPr>
        <w:t>alternatives</w:t>
      </w:r>
      <w:r>
        <w:rPr>
          <w:rFonts w:eastAsia="Times New Roman" w:cstheme="minorHAnsi"/>
          <w:sz w:val="24"/>
          <w:szCs w:val="24"/>
        </w:rPr>
        <w:t xml:space="preserve"> — e</w:t>
      </w:r>
      <w:r w:rsidR="00F231FB">
        <w:rPr>
          <w:rFonts w:eastAsia="Times New Roman" w:cstheme="minorHAnsi"/>
          <w:sz w:val="24"/>
          <w:szCs w:val="24"/>
        </w:rPr>
        <w:t>ven the LNG plant location.</w:t>
      </w:r>
    </w:p>
    <w:p w14:paraId="08C583F1" w14:textId="1C636512" w:rsidR="00F231FB" w:rsidRDefault="00F231FB" w:rsidP="00783D2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249E75E" w14:textId="03E095BF" w:rsidR="00D248FA" w:rsidRDefault="00D248FA" w:rsidP="00D248FA">
      <w:pPr>
        <w:spacing w:after="0"/>
        <w:rPr>
          <w:rFonts w:eastAsiaTheme="minorEastAsia" w:cstheme="minorHAnsi"/>
          <w:sz w:val="24"/>
          <w:szCs w:val="24"/>
        </w:rPr>
      </w:pPr>
      <w:r w:rsidRPr="001B29CB">
        <w:rPr>
          <w:rFonts w:eastAsiaTheme="minorEastAsia" w:cstheme="minorHAnsi"/>
          <w:sz w:val="24"/>
          <w:szCs w:val="24"/>
        </w:rPr>
        <w:t xml:space="preserve">The </w:t>
      </w:r>
      <w:r w:rsidR="00DE7358">
        <w:rPr>
          <w:rFonts w:eastAsiaTheme="minorEastAsia" w:cstheme="minorHAnsi"/>
          <w:sz w:val="24"/>
          <w:szCs w:val="24"/>
        </w:rPr>
        <w:t>bo</w:t>
      </w:r>
      <w:r w:rsidRPr="001B29CB">
        <w:rPr>
          <w:rFonts w:eastAsiaTheme="minorEastAsia" w:cstheme="minorHAnsi"/>
          <w:sz w:val="24"/>
          <w:szCs w:val="24"/>
        </w:rPr>
        <w:t xml:space="preserve">rough </w:t>
      </w:r>
      <w:r>
        <w:rPr>
          <w:rFonts w:eastAsiaTheme="minorEastAsia" w:cstheme="minorHAnsi"/>
          <w:sz w:val="24"/>
          <w:szCs w:val="24"/>
        </w:rPr>
        <w:t xml:space="preserve">in January alleged </w:t>
      </w:r>
      <w:r w:rsidR="007B43FC">
        <w:rPr>
          <w:rFonts w:eastAsiaTheme="minorEastAsia" w:cstheme="minorHAnsi"/>
          <w:sz w:val="24"/>
          <w:szCs w:val="24"/>
        </w:rPr>
        <w:t>that AGDC and federal regulators could be in violation of the</w:t>
      </w:r>
      <w:r w:rsidRPr="001B29CB">
        <w:rPr>
          <w:rFonts w:eastAsiaTheme="minorEastAsia" w:cstheme="minorHAnsi"/>
          <w:sz w:val="24"/>
          <w:szCs w:val="24"/>
        </w:rPr>
        <w:t xml:space="preserve"> National Environmental Policy Act </w:t>
      </w:r>
      <w:r w:rsidR="007B43FC">
        <w:rPr>
          <w:rFonts w:eastAsiaTheme="minorEastAsia" w:cstheme="minorHAnsi"/>
          <w:sz w:val="24"/>
          <w:szCs w:val="24"/>
        </w:rPr>
        <w:t>for</w:t>
      </w:r>
      <w:r w:rsidRPr="001B29CB">
        <w:rPr>
          <w:rFonts w:eastAsiaTheme="minorEastAsia" w:cstheme="minorHAnsi"/>
          <w:sz w:val="24"/>
          <w:szCs w:val="24"/>
        </w:rPr>
        <w:t xml:space="preserve"> “improperly and intentionally excluding” the borough’s Port MacKenzie as a “reasonable alternative” for the </w:t>
      </w:r>
      <w:r>
        <w:rPr>
          <w:rFonts w:eastAsiaTheme="minorEastAsia" w:cstheme="minorHAnsi"/>
          <w:sz w:val="24"/>
          <w:szCs w:val="24"/>
        </w:rPr>
        <w:t>proposed</w:t>
      </w:r>
      <w:r w:rsidRPr="001B29CB">
        <w:rPr>
          <w:rFonts w:eastAsiaTheme="minorEastAsia" w:cstheme="minorHAnsi"/>
          <w:sz w:val="24"/>
          <w:szCs w:val="24"/>
        </w:rPr>
        <w:t xml:space="preserve"> liquefied natural gas plant</w:t>
      </w:r>
      <w:r w:rsidR="007B43FC">
        <w:rPr>
          <w:rFonts w:eastAsiaTheme="minorEastAsia" w:cstheme="minorHAnsi"/>
          <w:sz w:val="24"/>
          <w:szCs w:val="24"/>
        </w:rPr>
        <w:t>.</w:t>
      </w:r>
    </w:p>
    <w:p w14:paraId="22492CC1" w14:textId="6C46BC41" w:rsidR="007B43FC" w:rsidRDefault="007B43FC" w:rsidP="00D248FA">
      <w:pPr>
        <w:spacing w:after="0"/>
        <w:rPr>
          <w:rFonts w:eastAsiaTheme="minorEastAsia" w:cstheme="minorHAnsi"/>
          <w:sz w:val="24"/>
          <w:szCs w:val="24"/>
        </w:rPr>
      </w:pPr>
    </w:p>
    <w:p w14:paraId="0D89740C" w14:textId="508873AA" w:rsidR="00F660C1" w:rsidRPr="000B0704" w:rsidRDefault="00F660C1" w:rsidP="00F660C1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The Matanuska-Susitna Borough’s strong advocacy for Port MacKenzie prompted the Kenai Peninsula Borough in August to file its own intervenor motion with FERC, which the commission also granted. </w:t>
      </w:r>
      <w:r w:rsidR="00154D4A">
        <w:rPr>
          <w:rFonts w:eastAsiaTheme="minorEastAsia" w:cstheme="minorHAnsi"/>
          <w:sz w:val="24"/>
          <w:szCs w:val="24"/>
        </w:rPr>
        <w:t xml:space="preserve"> </w:t>
      </w:r>
      <w:r w:rsidRPr="000B0704">
        <w:rPr>
          <w:rFonts w:eastAsia="Times New Roman" w:cstheme="minorHAnsi"/>
          <w:sz w:val="24"/>
          <w:szCs w:val="24"/>
        </w:rPr>
        <w:t xml:space="preserve">“Siting the Alaska LNG project within the Mat-Su Borough would be to the detriment and prejudice to the citizens and businesses of the Kenai Peninsula Borough,” said the </w:t>
      </w:r>
      <w:r>
        <w:rPr>
          <w:rFonts w:eastAsia="Times New Roman" w:cstheme="minorHAnsi"/>
          <w:sz w:val="24"/>
          <w:szCs w:val="24"/>
        </w:rPr>
        <w:t xml:space="preserve">Kenai Borough’s </w:t>
      </w:r>
      <w:r w:rsidRPr="000B0704">
        <w:rPr>
          <w:rFonts w:eastAsia="Times New Roman" w:cstheme="minorHAnsi"/>
          <w:sz w:val="24"/>
          <w:szCs w:val="24"/>
        </w:rPr>
        <w:t>motion to FERC.</w:t>
      </w:r>
    </w:p>
    <w:p w14:paraId="70B10923" w14:textId="21976452" w:rsidR="007B43FC" w:rsidRDefault="007B43FC" w:rsidP="00D248FA">
      <w:pPr>
        <w:spacing w:after="0"/>
        <w:rPr>
          <w:rFonts w:eastAsiaTheme="minorEastAsia" w:cstheme="minorHAnsi"/>
          <w:sz w:val="24"/>
          <w:szCs w:val="24"/>
        </w:rPr>
      </w:pPr>
    </w:p>
    <w:p w14:paraId="47F06C2A" w14:textId="45CD1DA8" w:rsidR="00E56807" w:rsidRDefault="00E56807" w:rsidP="00D248FA">
      <w:pPr>
        <w:spacing w:after="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The city of Valdez last year joined the FERC docket as an intervenor,</w:t>
      </w:r>
      <w:r w:rsidR="00DE7358">
        <w:rPr>
          <w:rFonts w:eastAsiaTheme="minorEastAsia" w:cstheme="minorHAnsi"/>
          <w:sz w:val="24"/>
          <w:szCs w:val="24"/>
        </w:rPr>
        <w:t xml:space="preserve"> also</w:t>
      </w:r>
      <w:r>
        <w:rPr>
          <w:rFonts w:eastAsiaTheme="minorEastAsia" w:cstheme="minorHAnsi"/>
          <w:sz w:val="24"/>
          <w:szCs w:val="24"/>
        </w:rPr>
        <w:t xml:space="preserve"> in support of its community as an alternative site for the LNG plant, though Valdez has not pushed the issue as aggressively as the Matanuska-Susitna Borough.</w:t>
      </w:r>
    </w:p>
    <w:p w14:paraId="4032F3B7" w14:textId="7DBC8EF7" w:rsidR="00E56807" w:rsidRDefault="00E56807" w:rsidP="00D248FA">
      <w:pPr>
        <w:spacing w:after="0"/>
        <w:rPr>
          <w:rFonts w:eastAsiaTheme="minorEastAsia" w:cstheme="minorHAnsi"/>
          <w:sz w:val="24"/>
          <w:szCs w:val="24"/>
        </w:rPr>
      </w:pPr>
    </w:p>
    <w:p w14:paraId="45C5919E" w14:textId="1FDC7EA5" w:rsidR="00E56807" w:rsidRDefault="007A5036" w:rsidP="00D248FA">
      <w:pPr>
        <w:spacing w:after="0"/>
        <w:rPr>
          <w:rFonts w:eastAsiaTheme="minorEastAsia" w:cstheme="minorHAnsi"/>
          <w:sz w:val="24"/>
          <w:szCs w:val="24"/>
        </w:rPr>
      </w:pPr>
      <w:bookmarkStart w:id="1" w:name="_Hlk526440198"/>
      <w:r>
        <w:rPr>
          <w:rFonts w:eastAsiaTheme="minorEastAsia" w:cstheme="minorHAnsi"/>
          <w:sz w:val="24"/>
          <w:szCs w:val="24"/>
        </w:rPr>
        <w:t xml:space="preserve">While it’s not unusual for </w:t>
      </w:r>
      <w:r w:rsidR="00747005">
        <w:rPr>
          <w:rFonts w:eastAsiaTheme="minorEastAsia" w:cstheme="minorHAnsi"/>
          <w:sz w:val="24"/>
          <w:szCs w:val="24"/>
        </w:rPr>
        <w:t xml:space="preserve">project </w:t>
      </w:r>
      <w:r>
        <w:rPr>
          <w:rFonts w:eastAsiaTheme="minorEastAsia" w:cstheme="minorHAnsi"/>
          <w:sz w:val="24"/>
          <w:szCs w:val="24"/>
        </w:rPr>
        <w:t xml:space="preserve">opponents to sign on as intervenors in a FERC proceeding, especially for advocates that object to a </w:t>
      </w:r>
      <w:r w:rsidR="00747005">
        <w:rPr>
          <w:rFonts w:eastAsiaTheme="minorEastAsia" w:cstheme="minorHAnsi"/>
          <w:sz w:val="24"/>
          <w:szCs w:val="24"/>
        </w:rPr>
        <w:t xml:space="preserve">particular </w:t>
      </w:r>
      <w:r w:rsidR="00C27517">
        <w:rPr>
          <w:rFonts w:eastAsiaTheme="minorEastAsia" w:cstheme="minorHAnsi"/>
          <w:sz w:val="24"/>
          <w:szCs w:val="24"/>
        </w:rPr>
        <w:t>site</w:t>
      </w:r>
      <w:r>
        <w:rPr>
          <w:rFonts w:eastAsiaTheme="minorEastAsia" w:cstheme="minorHAnsi"/>
          <w:sz w:val="24"/>
          <w:szCs w:val="24"/>
        </w:rPr>
        <w:t xml:space="preserve">, </w:t>
      </w:r>
      <w:r w:rsidR="00C27517">
        <w:rPr>
          <w:rFonts w:eastAsiaTheme="minorEastAsia" w:cstheme="minorHAnsi"/>
          <w:sz w:val="24"/>
          <w:szCs w:val="24"/>
        </w:rPr>
        <w:t xml:space="preserve">the Alaska LNG </w:t>
      </w:r>
      <w:r w:rsidR="00DE7358">
        <w:rPr>
          <w:rFonts w:eastAsiaTheme="minorEastAsia" w:cstheme="minorHAnsi"/>
          <w:sz w:val="24"/>
          <w:szCs w:val="24"/>
        </w:rPr>
        <w:t>review</w:t>
      </w:r>
      <w:r w:rsidR="00D751A9">
        <w:rPr>
          <w:rFonts w:eastAsiaTheme="minorEastAsia" w:cstheme="minorHAnsi"/>
          <w:sz w:val="24"/>
          <w:szCs w:val="24"/>
        </w:rPr>
        <w:t xml:space="preserve"> may be the first time t</w:t>
      </w:r>
      <w:r w:rsidR="00C27517">
        <w:rPr>
          <w:rFonts w:eastAsiaTheme="minorEastAsia" w:cstheme="minorHAnsi"/>
          <w:sz w:val="24"/>
          <w:szCs w:val="24"/>
        </w:rPr>
        <w:t xml:space="preserve">hree governments all promoting their own municipality </w:t>
      </w:r>
      <w:r w:rsidR="00DE7358">
        <w:rPr>
          <w:rFonts w:eastAsiaTheme="minorEastAsia" w:cstheme="minorHAnsi"/>
          <w:sz w:val="24"/>
          <w:szCs w:val="24"/>
        </w:rPr>
        <w:t xml:space="preserve">as a project </w:t>
      </w:r>
      <w:r w:rsidR="00747005">
        <w:rPr>
          <w:rFonts w:eastAsiaTheme="minorEastAsia" w:cstheme="minorHAnsi"/>
          <w:sz w:val="24"/>
          <w:szCs w:val="24"/>
        </w:rPr>
        <w:t>location</w:t>
      </w:r>
      <w:r w:rsidR="0069265A">
        <w:rPr>
          <w:rFonts w:eastAsiaTheme="minorEastAsia" w:cstheme="minorHAnsi"/>
          <w:sz w:val="24"/>
          <w:szCs w:val="24"/>
        </w:rPr>
        <w:t xml:space="preserve"> have joined the docket</w:t>
      </w:r>
      <w:r w:rsidR="00C27517">
        <w:rPr>
          <w:rFonts w:eastAsiaTheme="minorEastAsia" w:cstheme="minorHAnsi"/>
          <w:sz w:val="24"/>
          <w:szCs w:val="24"/>
        </w:rPr>
        <w:t>.</w:t>
      </w:r>
    </w:p>
    <w:p w14:paraId="1D30C5F0" w14:textId="7326403B" w:rsidR="00C27517" w:rsidRDefault="00C27517" w:rsidP="00D248FA">
      <w:pPr>
        <w:spacing w:after="0"/>
        <w:rPr>
          <w:rFonts w:eastAsiaTheme="minorEastAsia" w:cstheme="minorHAnsi"/>
          <w:sz w:val="24"/>
          <w:szCs w:val="24"/>
        </w:rPr>
      </w:pPr>
    </w:p>
    <w:bookmarkEnd w:id="1"/>
    <w:p w14:paraId="283DDF43" w14:textId="62A5F72E" w:rsidR="00D248FA" w:rsidRDefault="00C27517" w:rsidP="00D248FA">
      <w:pPr>
        <w:spacing w:after="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The document</w:t>
      </w:r>
      <w:r w:rsidR="00D751A9">
        <w:rPr>
          <w:rFonts w:eastAsiaTheme="minorEastAsia" w:cstheme="minorHAnsi"/>
          <w:sz w:val="24"/>
          <w:szCs w:val="24"/>
        </w:rPr>
        <w:t xml:space="preserve"> fight before FERC waged by t</w:t>
      </w:r>
      <w:r>
        <w:rPr>
          <w:rFonts w:eastAsiaTheme="minorEastAsia" w:cstheme="minorHAnsi"/>
          <w:sz w:val="24"/>
          <w:szCs w:val="24"/>
        </w:rPr>
        <w:t>he Matanuska-Susitna Borough and AGDC include</w:t>
      </w:r>
      <w:r w:rsidR="00D751A9">
        <w:rPr>
          <w:rFonts w:eastAsiaTheme="minorEastAsia" w:cstheme="minorHAnsi"/>
          <w:sz w:val="24"/>
          <w:szCs w:val="24"/>
        </w:rPr>
        <w:t>s</w:t>
      </w:r>
      <w:r w:rsidR="00CE022F">
        <w:rPr>
          <w:rFonts w:eastAsiaTheme="minorEastAsia" w:cstheme="minorHAnsi"/>
          <w:sz w:val="24"/>
          <w:szCs w:val="24"/>
        </w:rPr>
        <w:t xml:space="preserve"> multiple factual disputes</w:t>
      </w:r>
      <w:r>
        <w:rPr>
          <w:rFonts w:eastAsiaTheme="minorEastAsia" w:cstheme="minorHAnsi"/>
          <w:sz w:val="24"/>
          <w:szCs w:val="24"/>
        </w:rPr>
        <w:t>:</w:t>
      </w:r>
    </w:p>
    <w:p w14:paraId="78AEDBEF" w14:textId="77777777" w:rsidR="00D751A9" w:rsidRDefault="00D751A9" w:rsidP="00D248FA">
      <w:pPr>
        <w:spacing w:after="0"/>
        <w:rPr>
          <w:rFonts w:eastAsiaTheme="minorEastAsia" w:cstheme="minorHAnsi"/>
          <w:sz w:val="24"/>
          <w:szCs w:val="24"/>
        </w:rPr>
      </w:pPr>
    </w:p>
    <w:p w14:paraId="4DACBA19" w14:textId="445EAE35" w:rsidR="00C27517" w:rsidRDefault="00C27517" w:rsidP="00C27517">
      <w:pPr>
        <w:pStyle w:val="ListParagraph"/>
        <w:numPr>
          <w:ilvl w:val="0"/>
          <w:numId w:val="9"/>
        </w:numPr>
        <w:spacing w:after="0"/>
        <w:rPr>
          <w:rFonts w:eastAsiaTheme="minorEastAsia" w:cstheme="minorHAnsi"/>
          <w:sz w:val="24"/>
          <w:szCs w:val="24"/>
        </w:rPr>
      </w:pPr>
      <w:r w:rsidRPr="00C27517">
        <w:rPr>
          <w:rFonts w:eastAsiaTheme="minorEastAsia" w:cstheme="minorHAnsi"/>
          <w:sz w:val="24"/>
          <w:szCs w:val="24"/>
        </w:rPr>
        <w:t xml:space="preserve">The borough said AGDC did not adequately consult with the municipality </w:t>
      </w:r>
      <w:r>
        <w:rPr>
          <w:rFonts w:eastAsiaTheme="minorEastAsia" w:cstheme="minorHAnsi"/>
          <w:sz w:val="24"/>
          <w:szCs w:val="24"/>
        </w:rPr>
        <w:t>on the potential of Port MacKenzie to meet the project’s needs. AGDC said it frequently consulted with the borough.</w:t>
      </w:r>
    </w:p>
    <w:p w14:paraId="7F4E1180" w14:textId="6F2E7CF2" w:rsidR="00C27517" w:rsidRDefault="00C27517" w:rsidP="00C27517">
      <w:pPr>
        <w:pStyle w:val="ListParagraph"/>
        <w:numPr>
          <w:ilvl w:val="0"/>
          <w:numId w:val="9"/>
        </w:numPr>
        <w:spacing w:after="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The borough said it identified what it called the “</w:t>
      </w:r>
      <w:r w:rsidR="00D751A9">
        <w:rPr>
          <w:rFonts w:eastAsiaTheme="minorEastAsia" w:cstheme="minorHAnsi"/>
          <w:sz w:val="24"/>
          <w:szCs w:val="24"/>
        </w:rPr>
        <w:t>o</w:t>
      </w:r>
      <w:r>
        <w:rPr>
          <w:rFonts w:eastAsiaTheme="minorEastAsia" w:cstheme="minorHAnsi"/>
          <w:sz w:val="24"/>
          <w:szCs w:val="24"/>
        </w:rPr>
        <w:t xml:space="preserve">ptimum </w:t>
      </w:r>
      <w:r w:rsidR="00D751A9">
        <w:rPr>
          <w:rFonts w:eastAsiaTheme="minorEastAsia" w:cstheme="minorHAnsi"/>
          <w:sz w:val="24"/>
          <w:szCs w:val="24"/>
        </w:rPr>
        <w:t>s</w:t>
      </w:r>
      <w:r>
        <w:rPr>
          <w:rFonts w:eastAsiaTheme="minorEastAsia" w:cstheme="minorHAnsi"/>
          <w:sz w:val="24"/>
          <w:szCs w:val="24"/>
        </w:rPr>
        <w:t xml:space="preserve">ite,” based on discussions with AGDC, but the state project team did not give the location fair consideration. </w:t>
      </w:r>
      <w:r w:rsidR="00154D4A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The state team</w:t>
      </w:r>
      <w:r w:rsidR="00611D7A">
        <w:rPr>
          <w:rFonts w:eastAsiaTheme="minorEastAsia" w:cstheme="minorHAnsi"/>
          <w:sz w:val="24"/>
          <w:szCs w:val="24"/>
        </w:rPr>
        <w:t xml:space="preserve"> said it did review the </w:t>
      </w:r>
      <w:r w:rsidR="00D751A9">
        <w:rPr>
          <w:rFonts w:eastAsiaTheme="minorEastAsia" w:cstheme="minorHAnsi"/>
          <w:sz w:val="24"/>
          <w:szCs w:val="24"/>
        </w:rPr>
        <w:t>o</w:t>
      </w:r>
      <w:r w:rsidR="00611D7A">
        <w:rPr>
          <w:rFonts w:eastAsiaTheme="minorEastAsia" w:cstheme="minorHAnsi"/>
          <w:sz w:val="24"/>
          <w:szCs w:val="24"/>
        </w:rPr>
        <w:t xml:space="preserve">ptimum </w:t>
      </w:r>
      <w:r w:rsidR="00D751A9">
        <w:rPr>
          <w:rFonts w:eastAsiaTheme="minorEastAsia" w:cstheme="minorHAnsi"/>
          <w:sz w:val="24"/>
          <w:szCs w:val="24"/>
        </w:rPr>
        <w:t>s</w:t>
      </w:r>
      <w:r w:rsidR="00611D7A">
        <w:rPr>
          <w:rFonts w:eastAsiaTheme="minorEastAsia" w:cstheme="minorHAnsi"/>
          <w:sz w:val="24"/>
          <w:szCs w:val="24"/>
        </w:rPr>
        <w:t xml:space="preserve">ite but determined it “does not avoid any of the obstacles and negative impacts” of </w:t>
      </w:r>
      <w:r w:rsidR="00D751A9">
        <w:rPr>
          <w:rFonts w:eastAsiaTheme="minorEastAsia" w:cstheme="minorHAnsi"/>
          <w:sz w:val="24"/>
          <w:szCs w:val="24"/>
        </w:rPr>
        <w:t>previously reviewed</w:t>
      </w:r>
      <w:r w:rsidR="00611D7A">
        <w:rPr>
          <w:rFonts w:eastAsiaTheme="minorEastAsia" w:cstheme="minorHAnsi"/>
          <w:sz w:val="24"/>
          <w:szCs w:val="24"/>
        </w:rPr>
        <w:t xml:space="preserve"> options at Port MacKenzie.</w:t>
      </w:r>
    </w:p>
    <w:p w14:paraId="1118345A" w14:textId="657C54D6" w:rsidR="00611D7A" w:rsidRDefault="00611D7A" w:rsidP="00C27517">
      <w:pPr>
        <w:pStyle w:val="ListParagraph"/>
        <w:numPr>
          <w:ilvl w:val="0"/>
          <w:numId w:val="9"/>
        </w:numPr>
        <w:spacing w:after="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Although an LNG delivery from Port MacKenzie </w:t>
      </w:r>
      <w:r w:rsidR="007F3194">
        <w:rPr>
          <w:rFonts w:eastAsiaTheme="minorEastAsia" w:cstheme="minorHAnsi"/>
          <w:sz w:val="24"/>
          <w:szCs w:val="24"/>
        </w:rPr>
        <w:t>to Asia would be 116 round</w:t>
      </w:r>
      <w:r w:rsidR="00DE7358">
        <w:rPr>
          <w:rFonts w:eastAsiaTheme="minorEastAsia" w:cstheme="minorHAnsi"/>
          <w:sz w:val="24"/>
          <w:szCs w:val="24"/>
        </w:rPr>
        <w:t>-</w:t>
      </w:r>
      <w:r w:rsidR="007F3194">
        <w:rPr>
          <w:rFonts w:eastAsiaTheme="minorEastAsia" w:cstheme="minorHAnsi"/>
          <w:sz w:val="24"/>
          <w:szCs w:val="24"/>
        </w:rPr>
        <w:t xml:space="preserve">trip </w:t>
      </w:r>
      <w:r w:rsidR="00DE7358">
        <w:rPr>
          <w:rFonts w:eastAsiaTheme="minorEastAsia" w:cstheme="minorHAnsi"/>
          <w:sz w:val="24"/>
          <w:szCs w:val="24"/>
        </w:rPr>
        <w:t xml:space="preserve">miles </w:t>
      </w:r>
      <w:r w:rsidR="00D751A9">
        <w:rPr>
          <w:rFonts w:eastAsiaTheme="minorEastAsia" w:cstheme="minorHAnsi"/>
          <w:sz w:val="24"/>
          <w:szCs w:val="24"/>
        </w:rPr>
        <w:t>longer</w:t>
      </w:r>
      <w:r w:rsidR="007F3194">
        <w:rPr>
          <w:rFonts w:eastAsiaTheme="minorEastAsia" w:cstheme="minorHAnsi"/>
          <w:sz w:val="24"/>
          <w:szCs w:val="24"/>
        </w:rPr>
        <w:t xml:space="preserve"> than from Nikiski, the borough said the LNG carriers could run a little faster to make up the time, allowing the project to avoid the need for one more ship to handle </w:t>
      </w:r>
      <w:r w:rsidR="007F3194">
        <w:rPr>
          <w:rFonts w:eastAsiaTheme="minorEastAsia" w:cstheme="minorHAnsi"/>
          <w:sz w:val="24"/>
          <w:szCs w:val="24"/>
        </w:rPr>
        <w:lastRenderedPageBreak/>
        <w:t xml:space="preserve">the workload. </w:t>
      </w:r>
      <w:r w:rsidR="00154D4A">
        <w:rPr>
          <w:rFonts w:eastAsiaTheme="minorEastAsia" w:cstheme="minorHAnsi"/>
          <w:sz w:val="24"/>
          <w:szCs w:val="24"/>
        </w:rPr>
        <w:t xml:space="preserve"> </w:t>
      </w:r>
      <w:r w:rsidR="007F3194">
        <w:rPr>
          <w:rFonts w:eastAsiaTheme="minorEastAsia" w:cstheme="minorHAnsi"/>
          <w:sz w:val="24"/>
          <w:szCs w:val="24"/>
        </w:rPr>
        <w:t>AGDC said the additional cost of burning more fuel at faster speeds and other operational issues make that a poor choice.</w:t>
      </w:r>
    </w:p>
    <w:p w14:paraId="4D624CB7" w14:textId="518C426B" w:rsidR="007F3194" w:rsidRDefault="005401FB" w:rsidP="00C27517">
      <w:pPr>
        <w:pStyle w:val="ListParagraph"/>
        <w:numPr>
          <w:ilvl w:val="0"/>
          <w:numId w:val="9"/>
        </w:numPr>
        <w:spacing w:after="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AGDC said i</w:t>
      </w:r>
      <w:r w:rsidR="007F3194">
        <w:rPr>
          <w:rFonts w:eastAsiaTheme="minorEastAsia" w:cstheme="minorHAnsi"/>
          <w:sz w:val="24"/>
          <w:szCs w:val="24"/>
        </w:rPr>
        <w:t>ce conditions, tidal currents</w:t>
      </w:r>
      <w:r w:rsidR="007B0D13">
        <w:rPr>
          <w:rFonts w:eastAsiaTheme="minorEastAsia" w:cstheme="minorHAnsi"/>
          <w:sz w:val="24"/>
          <w:szCs w:val="24"/>
        </w:rPr>
        <w:t>, navigational channel congestion</w:t>
      </w:r>
      <w:r w:rsidR="002A723C">
        <w:rPr>
          <w:rFonts w:eastAsiaTheme="minorEastAsia" w:cstheme="minorHAnsi"/>
          <w:sz w:val="24"/>
          <w:szCs w:val="24"/>
        </w:rPr>
        <w:t>,</w:t>
      </w:r>
      <w:r w:rsidR="007F3194">
        <w:rPr>
          <w:rFonts w:eastAsiaTheme="minorEastAsia" w:cstheme="minorHAnsi"/>
          <w:sz w:val="24"/>
          <w:szCs w:val="24"/>
        </w:rPr>
        <w:t xml:space="preserve"> and operating LNG carriers in critical habitat area for endangered Cook Inlet beluga whales</w:t>
      </w:r>
      <w:r>
        <w:rPr>
          <w:rFonts w:eastAsiaTheme="minorEastAsia" w:cstheme="minorHAnsi"/>
          <w:sz w:val="24"/>
          <w:szCs w:val="24"/>
        </w:rPr>
        <w:t xml:space="preserve"> all </w:t>
      </w:r>
      <w:r w:rsidR="00CE022F">
        <w:rPr>
          <w:rFonts w:eastAsiaTheme="minorEastAsia" w:cstheme="minorHAnsi"/>
          <w:sz w:val="24"/>
          <w:szCs w:val="24"/>
        </w:rPr>
        <w:t xml:space="preserve">would present </w:t>
      </w:r>
      <w:r>
        <w:rPr>
          <w:rFonts w:eastAsiaTheme="minorEastAsia" w:cstheme="minorHAnsi"/>
          <w:sz w:val="24"/>
          <w:szCs w:val="24"/>
        </w:rPr>
        <w:t xml:space="preserve">substantial problems for building </w:t>
      </w:r>
      <w:r w:rsidR="00D751A9">
        <w:rPr>
          <w:rFonts w:eastAsiaTheme="minorEastAsia" w:cstheme="minorHAnsi"/>
          <w:sz w:val="24"/>
          <w:szCs w:val="24"/>
        </w:rPr>
        <w:t xml:space="preserve">the marine terminal </w:t>
      </w:r>
      <w:r>
        <w:rPr>
          <w:rFonts w:eastAsiaTheme="minorEastAsia" w:cstheme="minorHAnsi"/>
          <w:sz w:val="24"/>
          <w:szCs w:val="24"/>
        </w:rPr>
        <w:t xml:space="preserve">at Port </w:t>
      </w:r>
      <w:proofErr w:type="spellStart"/>
      <w:r>
        <w:rPr>
          <w:rFonts w:eastAsiaTheme="minorEastAsia" w:cstheme="minorHAnsi"/>
          <w:sz w:val="24"/>
          <w:szCs w:val="24"/>
        </w:rPr>
        <w:t>MacKenzie</w:t>
      </w:r>
      <w:proofErr w:type="spellEnd"/>
      <w:r>
        <w:rPr>
          <w:rFonts w:eastAsiaTheme="minorEastAsia" w:cstheme="minorHAnsi"/>
          <w:sz w:val="24"/>
          <w:szCs w:val="24"/>
        </w:rPr>
        <w:t>.</w:t>
      </w:r>
      <w:r w:rsidR="00154D4A"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 xml:space="preserve"> The borough dismissed all of the state’s arguments, prompting AGDC in its Oct. 2 filing with FERC to call the borough’s responses “meritless, and in some cases frivolous.”</w:t>
      </w:r>
    </w:p>
    <w:p w14:paraId="1BB74BE1" w14:textId="068D95EA" w:rsidR="007B0D13" w:rsidRDefault="007B0D13" w:rsidP="00C27517">
      <w:pPr>
        <w:pStyle w:val="ListParagraph"/>
        <w:numPr>
          <w:ilvl w:val="0"/>
          <w:numId w:val="9"/>
        </w:numPr>
        <w:spacing w:after="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The borough and AGDC disagreed on whether an extension of the Alaska Railroad would be in the way of the LNG project, or even whether the potential extension should be a factor in the site analysis.</w:t>
      </w:r>
    </w:p>
    <w:p w14:paraId="42774D63" w14:textId="28F4F88E" w:rsidR="005401FB" w:rsidRDefault="005401FB" w:rsidP="005401FB">
      <w:pPr>
        <w:spacing w:after="0"/>
        <w:rPr>
          <w:rFonts w:eastAsiaTheme="minorEastAsia" w:cstheme="minorHAnsi"/>
          <w:sz w:val="24"/>
          <w:szCs w:val="24"/>
        </w:rPr>
      </w:pPr>
    </w:p>
    <w:p w14:paraId="58F02FE8" w14:textId="622A263E" w:rsidR="005401FB" w:rsidRDefault="005401FB" w:rsidP="005401FB">
      <w:pPr>
        <w:spacing w:after="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In preparing the EIS, federal regulators have asked AGDC to answer multiple questions and provide substantial additional information about Port MacKenzie as a possible alternative to Nikiski</w:t>
      </w:r>
      <w:r w:rsidR="00A3323C">
        <w:rPr>
          <w:rFonts w:eastAsiaTheme="minorEastAsia" w:cstheme="minorHAnsi"/>
          <w:sz w:val="24"/>
          <w:szCs w:val="24"/>
        </w:rPr>
        <w:t>.</w:t>
      </w:r>
    </w:p>
    <w:p w14:paraId="619AE541" w14:textId="0E59D6FE" w:rsidR="00A3323C" w:rsidRDefault="00A3323C" w:rsidP="005401FB">
      <w:pPr>
        <w:spacing w:after="0"/>
        <w:rPr>
          <w:rFonts w:eastAsiaTheme="minorEastAsia" w:cstheme="minorHAnsi"/>
          <w:sz w:val="24"/>
          <w:szCs w:val="24"/>
        </w:rPr>
      </w:pPr>
    </w:p>
    <w:p w14:paraId="63309689" w14:textId="6DCF7892" w:rsidR="00A3323C" w:rsidRDefault="00A3323C" w:rsidP="00A3323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In September, the borough accused AGDC of </w:t>
      </w:r>
      <w:r w:rsidR="00506DE5">
        <w:rPr>
          <w:rFonts w:eastAsia="Times New Roman" w:cstheme="minorHAnsi"/>
          <w:sz w:val="24"/>
          <w:szCs w:val="24"/>
        </w:rPr>
        <w:t xml:space="preserve">purposefully </w:t>
      </w:r>
      <w:r>
        <w:rPr>
          <w:rFonts w:eastAsia="Times New Roman" w:cstheme="minorHAnsi"/>
          <w:sz w:val="24"/>
          <w:szCs w:val="24"/>
        </w:rPr>
        <w:t xml:space="preserve">selecting </w:t>
      </w:r>
      <w:r w:rsidR="00506DE5">
        <w:rPr>
          <w:rFonts w:eastAsia="Times New Roman" w:cstheme="minorHAnsi"/>
          <w:sz w:val="24"/>
          <w:szCs w:val="24"/>
        </w:rPr>
        <w:t xml:space="preserve">poor sites at Port MacKenzie for review to show maximum </w:t>
      </w:r>
      <w:r>
        <w:rPr>
          <w:rFonts w:eastAsia="Times New Roman" w:cstheme="minorHAnsi"/>
          <w:sz w:val="24"/>
          <w:szCs w:val="24"/>
        </w:rPr>
        <w:t>environmental impacts</w:t>
      </w:r>
      <w:r w:rsidR="00506DE5">
        <w:rPr>
          <w:rFonts w:eastAsia="Times New Roman" w:cstheme="minorHAnsi"/>
          <w:sz w:val="24"/>
          <w:szCs w:val="24"/>
        </w:rPr>
        <w:t xml:space="preserve">. </w:t>
      </w:r>
      <w:r w:rsidR="00154D4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“AGDC chose to make no effort to find a least-damaging site,” the borough alleged</w:t>
      </w:r>
      <w:r w:rsidR="00506DE5">
        <w:rPr>
          <w:rFonts w:eastAsia="Times New Roman" w:cstheme="minorHAnsi"/>
          <w:sz w:val="24"/>
          <w:szCs w:val="24"/>
        </w:rPr>
        <w:t>.</w:t>
      </w:r>
    </w:p>
    <w:p w14:paraId="26810CD3" w14:textId="3FD5B279" w:rsidR="00506DE5" w:rsidRDefault="00506DE5" w:rsidP="00A3323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42CB22A" w14:textId="4B516948" w:rsidR="00506DE5" w:rsidRDefault="00506DE5" w:rsidP="00A3323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AGDC, in its Oct. 2 filing, said the</w:t>
      </w:r>
      <w:r w:rsidR="00CE022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optimum site “identified by the Matanuska-Susitna Borough at the 11</w:t>
      </w:r>
      <w:r w:rsidRPr="00506DE5">
        <w:rPr>
          <w:rFonts w:eastAsia="Times New Roman" w:cstheme="minorHAnsi"/>
          <w:sz w:val="24"/>
          <w:szCs w:val="24"/>
          <w:vertAlign w:val="superscript"/>
        </w:rPr>
        <w:t>th</w:t>
      </w:r>
      <w:r>
        <w:rPr>
          <w:rFonts w:eastAsia="Times New Roman" w:cstheme="minorHAnsi"/>
          <w:sz w:val="24"/>
          <w:szCs w:val="24"/>
        </w:rPr>
        <w:t xml:space="preserve"> hour constitutes yet another moving target presented by the borough during these proceedings.” </w:t>
      </w:r>
      <w:r w:rsidR="00154D4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The borough said it presented the option months ago.</w:t>
      </w:r>
    </w:p>
    <w:p w14:paraId="0675D053" w14:textId="70C5B127" w:rsidR="00506DE5" w:rsidRDefault="00506DE5" w:rsidP="00A3323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65B12A8" w14:textId="0D40CCE5" w:rsidR="00783D25" w:rsidRPr="00783D25" w:rsidRDefault="00506DE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Regardless, AGDC said, “This latest proposal by the Matanuska-Susitna Borough does not materially change the results of the environmental and engineering analysis of alternatives performed by AGDC.”</w:t>
      </w:r>
    </w:p>
    <w:sectPr w:rsidR="00783D25" w:rsidRPr="00783D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F2D23" w14:textId="77777777" w:rsidR="00BC4E16" w:rsidRDefault="00BC4E16" w:rsidP="00997451">
      <w:pPr>
        <w:spacing w:after="0" w:line="240" w:lineRule="auto"/>
      </w:pPr>
      <w:r>
        <w:separator/>
      </w:r>
    </w:p>
  </w:endnote>
  <w:endnote w:type="continuationSeparator" w:id="0">
    <w:p w14:paraId="29B42C86" w14:textId="77777777" w:rsidR="00BC4E16" w:rsidRDefault="00BC4E16" w:rsidP="0099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73780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FB4A33" w14:textId="60C82C6E" w:rsidR="00154D4A" w:rsidRDefault="00154D4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7B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FC817E" w14:textId="77777777" w:rsidR="00997451" w:rsidRDefault="009974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88054" w14:textId="77777777" w:rsidR="00BC4E16" w:rsidRDefault="00BC4E16" w:rsidP="00997451">
      <w:pPr>
        <w:spacing w:after="0" w:line="240" w:lineRule="auto"/>
      </w:pPr>
      <w:r>
        <w:separator/>
      </w:r>
    </w:p>
  </w:footnote>
  <w:footnote w:type="continuationSeparator" w:id="0">
    <w:p w14:paraId="1DFB212B" w14:textId="77777777" w:rsidR="00BC4E16" w:rsidRDefault="00BC4E16" w:rsidP="0099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27A1F"/>
    <w:multiLevelType w:val="hybridMultilevel"/>
    <w:tmpl w:val="8CE6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C7054"/>
    <w:multiLevelType w:val="hybridMultilevel"/>
    <w:tmpl w:val="41AA9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12FEF"/>
    <w:multiLevelType w:val="hybridMultilevel"/>
    <w:tmpl w:val="1F20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6260D"/>
    <w:multiLevelType w:val="hybridMultilevel"/>
    <w:tmpl w:val="FF8C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A5F42"/>
    <w:multiLevelType w:val="multilevel"/>
    <w:tmpl w:val="3E8A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3333E"/>
    <w:multiLevelType w:val="hybridMultilevel"/>
    <w:tmpl w:val="0DA2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52B33"/>
    <w:multiLevelType w:val="hybridMultilevel"/>
    <w:tmpl w:val="ED26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858AC"/>
    <w:multiLevelType w:val="hybridMultilevel"/>
    <w:tmpl w:val="5642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730F6"/>
    <w:multiLevelType w:val="hybridMultilevel"/>
    <w:tmpl w:val="FCB0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48"/>
    <w:rsid w:val="000005A2"/>
    <w:rsid w:val="00000FB3"/>
    <w:rsid w:val="00002355"/>
    <w:rsid w:val="00022EBB"/>
    <w:rsid w:val="00035288"/>
    <w:rsid w:val="00042BA1"/>
    <w:rsid w:val="00045184"/>
    <w:rsid w:val="0004615B"/>
    <w:rsid w:val="000504D1"/>
    <w:rsid w:val="00062BF4"/>
    <w:rsid w:val="00085809"/>
    <w:rsid w:val="00085FCA"/>
    <w:rsid w:val="000A3E1F"/>
    <w:rsid w:val="000A6C12"/>
    <w:rsid w:val="000A791B"/>
    <w:rsid w:val="000B0704"/>
    <w:rsid w:val="000B5487"/>
    <w:rsid w:val="000C2936"/>
    <w:rsid w:val="000C7246"/>
    <w:rsid w:val="000D7067"/>
    <w:rsid w:val="000D7722"/>
    <w:rsid w:val="000E29CD"/>
    <w:rsid w:val="000E7EFF"/>
    <w:rsid w:val="000F0566"/>
    <w:rsid w:val="000F08C2"/>
    <w:rsid w:val="000F372D"/>
    <w:rsid w:val="0010736A"/>
    <w:rsid w:val="0013037C"/>
    <w:rsid w:val="0013189A"/>
    <w:rsid w:val="001323BF"/>
    <w:rsid w:val="00154D4A"/>
    <w:rsid w:val="0016215A"/>
    <w:rsid w:val="00162EA3"/>
    <w:rsid w:val="001630A2"/>
    <w:rsid w:val="0017073B"/>
    <w:rsid w:val="0018018D"/>
    <w:rsid w:val="0018602F"/>
    <w:rsid w:val="001930ED"/>
    <w:rsid w:val="0019482E"/>
    <w:rsid w:val="001B0E88"/>
    <w:rsid w:val="001B3A18"/>
    <w:rsid w:val="001B6705"/>
    <w:rsid w:val="001C2075"/>
    <w:rsid w:val="001C419B"/>
    <w:rsid w:val="001D51E8"/>
    <w:rsid w:val="001E7DD5"/>
    <w:rsid w:val="002012CD"/>
    <w:rsid w:val="00207672"/>
    <w:rsid w:val="0021234D"/>
    <w:rsid w:val="00214708"/>
    <w:rsid w:val="002207E0"/>
    <w:rsid w:val="00227161"/>
    <w:rsid w:val="00234097"/>
    <w:rsid w:val="00242F5F"/>
    <w:rsid w:val="00251BA1"/>
    <w:rsid w:val="002548CF"/>
    <w:rsid w:val="00260FA0"/>
    <w:rsid w:val="00263DE6"/>
    <w:rsid w:val="00273E61"/>
    <w:rsid w:val="002758CA"/>
    <w:rsid w:val="0028088C"/>
    <w:rsid w:val="0029087B"/>
    <w:rsid w:val="002A2EC8"/>
    <w:rsid w:val="002A723C"/>
    <w:rsid w:val="002B3637"/>
    <w:rsid w:val="002C1DB8"/>
    <w:rsid w:val="002C3631"/>
    <w:rsid w:val="002E3624"/>
    <w:rsid w:val="00311363"/>
    <w:rsid w:val="00315BBE"/>
    <w:rsid w:val="003579AE"/>
    <w:rsid w:val="00361F5B"/>
    <w:rsid w:val="003715D2"/>
    <w:rsid w:val="003724DA"/>
    <w:rsid w:val="00374F94"/>
    <w:rsid w:val="00384291"/>
    <w:rsid w:val="00385FFD"/>
    <w:rsid w:val="003D3A61"/>
    <w:rsid w:val="003F25A0"/>
    <w:rsid w:val="003F7344"/>
    <w:rsid w:val="00406EB8"/>
    <w:rsid w:val="00407E52"/>
    <w:rsid w:val="00412F71"/>
    <w:rsid w:val="00414CA7"/>
    <w:rsid w:val="0041775B"/>
    <w:rsid w:val="00425BBD"/>
    <w:rsid w:val="004272E0"/>
    <w:rsid w:val="00431B91"/>
    <w:rsid w:val="00431F5B"/>
    <w:rsid w:val="00432173"/>
    <w:rsid w:val="00445213"/>
    <w:rsid w:val="0044564E"/>
    <w:rsid w:val="004616D4"/>
    <w:rsid w:val="00461B30"/>
    <w:rsid w:val="00465545"/>
    <w:rsid w:val="00467009"/>
    <w:rsid w:val="00473CDD"/>
    <w:rsid w:val="00481752"/>
    <w:rsid w:val="004817CB"/>
    <w:rsid w:val="0048491A"/>
    <w:rsid w:val="004A0EB2"/>
    <w:rsid w:val="004B4C78"/>
    <w:rsid w:val="004B7223"/>
    <w:rsid w:val="004B728B"/>
    <w:rsid w:val="004E2F02"/>
    <w:rsid w:val="004F0923"/>
    <w:rsid w:val="004F6788"/>
    <w:rsid w:val="00506DE5"/>
    <w:rsid w:val="00521545"/>
    <w:rsid w:val="0052382B"/>
    <w:rsid w:val="00531F79"/>
    <w:rsid w:val="00536AE1"/>
    <w:rsid w:val="005401FB"/>
    <w:rsid w:val="0054413F"/>
    <w:rsid w:val="00571018"/>
    <w:rsid w:val="00577A44"/>
    <w:rsid w:val="00577A7A"/>
    <w:rsid w:val="005A2777"/>
    <w:rsid w:val="005A7AB8"/>
    <w:rsid w:val="005B3768"/>
    <w:rsid w:val="005B6B0D"/>
    <w:rsid w:val="005C2E5E"/>
    <w:rsid w:val="005D1ACA"/>
    <w:rsid w:val="005D673A"/>
    <w:rsid w:val="005E6DB9"/>
    <w:rsid w:val="005F0A5E"/>
    <w:rsid w:val="00611D7A"/>
    <w:rsid w:val="006176F9"/>
    <w:rsid w:val="00624695"/>
    <w:rsid w:val="00627278"/>
    <w:rsid w:val="0062778E"/>
    <w:rsid w:val="00633466"/>
    <w:rsid w:val="00636772"/>
    <w:rsid w:val="00646DCF"/>
    <w:rsid w:val="00654B73"/>
    <w:rsid w:val="00657DBC"/>
    <w:rsid w:val="00665300"/>
    <w:rsid w:val="00665B2F"/>
    <w:rsid w:val="006722C4"/>
    <w:rsid w:val="00677EFD"/>
    <w:rsid w:val="0068610F"/>
    <w:rsid w:val="00692480"/>
    <w:rsid w:val="0069265A"/>
    <w:rsid w:val="00694982"/>
    <w:rsid w:val="006B0DD9"/>
    <w:rsid w:val="006B5BFA"/>
    <w:rsid w:val="006C6C24"/>
    <w:rsid w:val="006D484A"/>
    <w:rsid w:val="006E517E"/>
    <w:rsid w:val="00704033"/>
    <w:rsid w:val="007155E7"/>
    <w:rsid w:val="00726ED4"/>
    <w:rsid w:val="00727F04"/>
    <w:rsid w:val="00735E58"/>
    <w:rsid w:val="00736A18"/>
    <w:rsid w:val="00745BF4"/>
    <w:rsid w:val="00747005"/>
    <w:rsid w:val="00752AFB"/>
    <w:rsid w:val="00754803"/>
    <w:rsid w:val="00783D25"/>
    <w:rsid w:val="007934B6"/>
    <w:rsid w:val="007953DD"/>
    <w:rsid w:val="00796C2A"/>
    <w:rsid w:val="007A26EE"/>
    <w:rsid w:val="007A4F5E"/>
    <w:rsid w:val="007A5036"/>
    <w:rsid w:val="007A7CAC"/>
    <w:rsid w:val="007B0D13"/>
    <w:rsid w:val="007B43FC"/>
    <w:rsid w:val="007C3C14"/>
    <w:rsid w:val="007E488D"/>
    <w:rsid w:val="007F3194"/>
    <w:rsid w:val="007F5FB9"/>
    <w:rsid w:val="007F696F"/>
    <w:rsid w:val="00801DF7"/>
    <w:rsid w:val="0081445F"/>
    <w:rsid w:val="0083244D"/>
    <w:rsid w:val="0084390D"/>
    <w:rsid w:val="0085258C"/>
    <w:rsid w:val="00855F0D"/>
    <w:rsid w:val="00863732"/>
    <w:rsid w:val="00873284"/>
    <w:rsid w:val="008962D9"/>
    <w:rsid w:val="008B279A"/>
    <w:rsid w:val="008B4C0C"/>
    <w:rsid w:val="008B724C"/>
    <w:rsid w:val="008F5887"/>
    <w:rsid w:val="008F7BA2"/>
    <w:rsid w:val="0091057A"/>
    <w:rsid w:val="0091791F"/>
    <w:rsid w:val="00920301"/>
    <w:rsid w:val="009307A8"/>
    <w:rsid w:val="009406DA"/>
    <w:rsid w:val="009435A9"/>
    <w:rsid w:val="0094367E"/>
    <w:rsid w:val="00947CB3"/>
    <w:rsid w:val="00965CE0"/>
    <w:rsid w:val="00976CBB"/>
    <w:rsid w:val="009853D4"/>
    <w:rsid w:val="00990F28"/>
    <w:rsid w:val="00991DD9"/>
    <w:rsid w:val="00994FE0"/>
    <w:rsid w:val="00997451"/>
    <w:rsid w:val="00A0486A"/>
    <w:rsid w:val="00A10DCE"/>
    <w:rsid w:val="00A3323C"/>
    <w:rsid w:val="00A3351F"/>
    <w:rsid w:val="00A41D66"/>
    <w:rsid w:val="00A50C79"/>
    <w:rsid w:val="00A52FA8"/>
    <w:rsid w:val="00A53005"/>
    <w:rsid w:val="00A63080"/>
    <w:rsid w:val="00A63A96"/>
    <w:rsid w:val="00A63AE8"/>
    <w:rsid w:val="00A647AA"/>
    <w:rsid w:val="00A65F96"/>
    <w:rsid w:val="00A762B0"/>
    <w:rsid w:val="00A9120D"/>
    <w:rsid w:val="00A926FF"/>
    <w:rsid w:val="00AA2326"/>
    <w:rsid w:val="00AA3846"/>
    <w:rsid w:val="00AB1B01"/>
    <w:rsid w:val="00AB28F0"/>
    <w:rsid w:val="00AB4C5B"/>
    <w:rsid w:val="00AC2663"/>
    <w:rsid w:val="00AC51A3"/>
    <w:rsid w:val="00AD7819"/>
    <w:rsid w:val="00AE4BC9"/>
    <w:rsid w:val="00AE56A7"/>
    <w:rsid w:val="00AF28AE"/>
    <w:rsid w:val="00B02784"/>
    <w:rsid w:val="00B10EE6"/>
    <w:rsid w:val="00B17381"/>
    <w:rsid w:val="00B428B7"/>
    <w:rsid w:val="00B573AA"/>
    <w:rsid w:val="00B5774A"/>
    <w:rsid w:val="00B65E6B"/>
    <w:rsid w:val="00B7000C"/>
    <w:rsid w:val="00B70390"/>
    <w:rsid w:val="00B72C9D"/>
    <w:rsid w:val="00B73FB7"/>
    <w:rsid w:val="00B743EA"/>
    <w:rsid w:val="00B86226"/>
    <w:rsid w:val="00B92B26"/>
    <w:rsid w:val="00B9553D"/>
    <w:rsid w:val="00B95633"/>
    <w:rsid w:val="00BA0E2B"/>
    <w:rsid w:val="00BA1356"/>
    <w:rsid w:val="00BB1C13"/>
    <w:rsid w:val="00BB22D4"/>
    <w:rsid w:val="00BB23F7"/>
    <w:rsid w:val="00BC4E16"/>
    <w:rsid w:val="00BD04A5"/>
    <w:rsid w:val="00BD65A9"/>
    <w:rsid w:val="00BF205D"/>
    <w:rsid w:val="00BF3FF9"/>
    <w:rsid w:val="00C045DD"/>
    <w:rsid w:val="00C048DE"/>
    <w:rsid w:val="00C13BBF"/>
    <w:rsid w:val="00C204FB"/>
    <w:rsid w:val="00C27517"/>
    <w:rsid w:val="00C507BE"/>
    <w:rsid w:val="00C50B90"/>
    <w:rsid w:val="00C51F8D"/>
    <w:rsid w:val="00C56C5D"/>
    <w:rsid w:val="00C60F13"/>
    <w:rsid w:val="00C73A07"/>
    <w:rsid w:val="00C906CD"/>
    <w:rsid w:val="00CA19A9"/>
    <w:rsid w:val="00CA6833"/>
    <w:rsid w:val="00CB26D5"/>
    <w:rsid w:val="00CB668E"/>
    <w:rsid w:val="00CC1F03"/>
    <w:rsid w:val="00CC3CD8"/>
    <w:rsid w:val="00CC7DCC"/>
    <w:rsid w:val="00CD24B2"/>
    <w:rsid w:val="00CD45D6"/>
    <w:rsid w:val="00CD5DF1"/>
    <w:rsid w:val="00CE022F"/>
    <w:rsid w:val="00CE732D"/>
    <w:rsid w:val="00CF7D8C"/>
    <w:rsid w:val="00D036EE"/>
    <w:rsid w:val="00D233FC"/>
    <w:rsid w:val="00D23E83"/>
    <w:rsid w:val="00D248FA"/>
    <w:rsid w:val="00D25A9B"/>
    <w:rsid w:val="00D30678"/>
    <w:rsid w:val="00D34600"/>
    <w:rsid w:val="00D44409"/>
    <w:rsid w:val="00D50CB2"/>
    <w:rsid w:val="00D51A76"/>
    <w:rsid w:val="00D561C9"/>
    <w:rsid w:val="00D751A9"/>
    <w:rsid w:val="00D8127E"/>
    <w:rsid w:val="00D81597"/>
    <w:rsid w:val="00DB277D"/>
    <w:rsid w:val="00DB40F2"/>
    <w:rsid w:val="00DD26FA"/>
    <w:rsid w:val="00DD6B1B"/>
    <w:rsid w:val="00DE4D26"/>
    <w:rsid w:val="00DE7358"/>
    <w:rsid w:val="00DF02A4"/>
    <w:rsid w:val="00E205D7"/>
    <w:rsid w:val="00E32185"/>
    <w:rsid w:val="00E56582"/>
    <w:rsid w:val="00E56807"/>
    <w:rsid w:val="00E57BA3"/>
    <w:rsid w:val="00E61475"/>
    <w:rsid w:val="00E6279D"/>
    <w:rsid w:val="00E70365"/>
    <w:rsid w:val="00E709EA"/>
    <w:rsid w:val="00E87C38"/>
    <w:rsid w:val="00E87DCF"/>
    <w:rsid w:val="00E92848"/>
    <w:rsid w:val="00E954E9"/>
    <w:rsid w:val="00EA7F02"/>
    <w:rsid w:val="00EC6946"/>
    <w:rsid w:val="00EE4CB0"/>
    <w:rsid w:val="00EE790F"/>
    <w:rsid w:val="00F01194"/>
    <w:rsid w:val="00F07FCC"/>
    <w:rsid w:val="00F2067E"/>
    <w:rsid w:val="00F231FB"/>
    <w:rsid w:val="00F23DC8"/>
    <w:rsid w:val="00F27433"/>
    <w:rsid w:val="00F33335"/>
    <w:rsid w:val="00F348C9"/>
    <w:rsid w:val="00F54E3A"/>
    <w:rsid w:val="00F56792"/>
    <w:rsid w:val="00F660C1"/>
    <w:rsid w:val="00F94655"/>
    <w:rsid w:val="00FB0D72"/>
    <w:rsid w:val="00FD7BF6"/>
    <w:rsid w:val="00FE2C31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2441"/>
  <w15:chartTrackingRefBased/>
  <w15:docId w15:val="{BFCDF99D-4B7E-4039-B345-4A7AEA84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B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5F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7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451"/>
  </w:style>
  <w:style w:type="paragraph" w:styleId="Footer">
    <w:name w:val="footer"/>
    <w:basedOn w:val="Normal"/>
    <w:link w:val="FooterChar"/>
    <w:uiPriority w:val="99"/>
    <w:unhideWhenUsed/>
    <w:rsid w:val="00997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451"/>
  </w:style>
  <w:style w:type="paragraph" w:styleId="BalloonText">
    <w:name w:val="Balloon Text"/>
    <w:basedOn w:val="Normal"/>
    <w:link w:val="BalloonTextChar"/>
    <w:uiPriority w:val="99"/>
    <w:semiHidden/>
    <w:unhideWhenUsed/>
    <w:rsid w:val="0025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er@alask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EE469-9EFD-4798-84C9-3B4D481C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Persily</dc:creator>
  <cp:keywords/>
  <dc:description/>
  <cp:lastModifiedBy>Ed M. Kazzimir</cp:lastModifiedBy>
  <cp:revision>34</cp:revision>
  <cp:lastPrinted>2018-10-05T19:58:00Z</cp:lastPrinted>
  <dcterms:created xsi:type="dcterms:W3CDTF">2018-10-03T22:48:00Z</dcterms:created>
  <dcterms:modified xsi:type="dcterms:W3CDTF">2018-10-05T19:59:00Z</dcterms:modified>
</cp:coreProperties>
</file>